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="269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3f69"/>
          <w:sz w:val="24"/>
          <w:szCs w:val="24"/>
          <w:rtl w:val="0"/>
        </w:rPr>
        <w:t xml:space="preserve">Analyse-Dossier zum Paper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120" w:before="0" w:line="276" w:lineRule="auto"/>
        <w:jc w:val="left"/>
        <w:rPr/>
      </w:pPr>
      <w:r w:rsidDel="00000000" w:rsidR="00000000" w:rsidRPr="00000000">
        <w:rPr>
          <w:color w:val="122e4a"/>
          <w:rtl w:val="0"/>
        </w:rPr>
        <w:t xml:space="preserve">Reducing Hallucinations in Language Model-based SPARQL Query Generation Using Post-Generation Memory Retrieval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="269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Autor:innen: </w:t>
      </w:r>
      <w:r w:rsidDel="00000000" w:rsidR="00000000" w:rsidRPr="00000000">
        <w:rPr>
          <w:b w:val="0"/>
          <w:bCs w:val="0"/>
          <w:sz w:val="21"/>
          <w:szCs w:val="21"/>
          <w:rtl w:val="0"/>
        </w:rPr>
        <w:t xml:space="preserve">Aditya Sharma, Christopher J. Pal, Amal Zouaq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br w:type="textWrapping"/>
        <w:t xml:space="preserve">Venue: </w:t>
      </w:r>
      <w:r w:rsidDel="00000000" w:rsidR="00000000" w:rsidRPr="00000000">
        <w:rPr>
          <w:b w:val="0"/>
          <w:bCs w:val="0"/>
          <w:sz w:val="21"/>
          <w:szCs w:val="21"/>
          <w:rtl w:val="0"/>
        </w:rPr>
        <w:t xml:space="preserve">Findings of ACL: EACL 2026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br w:type="textWrapping"/>
        <w:t xml:space="preserve">Ziel dieses Dokuments: </w:t>
      </w:r>
      <w:r w:rsidDel="00000000" w:rsidR="00000000" w:rsidRPr="00000000">
        <w:rPr>
          <w:b w:val="0"/>
          <w:bCs w:val="0"/>
          <w:sz w:val="21"/>
          <w:szCs w:val="21"/>
          <w:rtl w:val="0"/>
        </w:rPr>
        <w:t xml:space="preserve">kompakte, zitierfähige und für Methodik/Related Work nutzbare Aufbereitung des Papers inklusive aller zentralen Ergebnistabellen.</w:t>
      </w:r>
      <w:r w:rsidDel="00000000" w:rsidR="00000000" w:rsidRPr="00000000">
        <w:rPr>
          <w:rtl w:val="0"/>
        </w:rPr>
      </w:r>
    </w:p>
    <w:tbl>
      <w:tblPr>
        <w:tblStyle w:val="Table1"/>
        <w:tblW w:w="88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91"/>
        <w:gridCol w:w="5953"/>
        <w:tblGridChange w:id="0">
          <w:tblGrid>
            <w:gridCol w:w="2891"/>
            <w:gridCol w:w="595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Inhalt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Aditya Sharma, Christopher J. Pal, Amal Zouaq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Titel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Reducing Hallucinations in Language Model-based SPARQL Query Generation Using Post-Generation Memory Retrieval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Findings of the Association for Computational Linguistics: EACL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Jahr / Seiten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2026, S. 4657-4668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Domäne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NL-to-SPARQL / KGQA über Wikidata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Zentrales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LLMs halluzinieren häufig KG-URIs in SPARQL-Queries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Vorgeschlagene Methode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PGMR (Post-Generation Memory Retrieval)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8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Analysierte Datei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sharma_etal_2026_pgmr_sparql.pdf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60" w:line="26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Management Summary</w:t>
      </w:r>
    </w:p>
    <w:tbl>
      <w:tblPr>
        <w:tblStyle w:val="Table2"/>
        <w:tblW w:w="88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19"/>
        <w:gridCol w:w="4025"/>
        <w:tblGridChange w:id="0">
          <w:tblGrid>
            <w:gridCol w:w="4819"/>
            <w:gridCol w:w="4025"/>
          </w:tblGrid>
        </w:tblGridChange>
      </w:tblGrid>
      <w:tr>
        <w:trPr>
          <w:cantSplit w:val="0"/>
          <w:tblHeader w:val="0"/>
        </w:trPr>
        <w:tc>
          <w:tcPr>
            <w:shd w:fill="f3f7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Durchschnittliche URI-Halluzination bei Direct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f69"/>
                <w:sz w:val="20"/>
                <w:szCs w:val="20"/>
                <w:rtl w:val="0"/>
              </w:rPr>
              <w:t xml:space="preserve">75.42 %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7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Durchschnittliche URI-Halluzination bei 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f69"/>
                <w:sz w:val="20"/>
                <w:szCs w:val="20"/>
                <w:rtl w:val="0"/>
              </w:rPr>
              <w:t xml:space="preserve">8.71 %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7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URI-Halluzination bei PGMR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f69"/>
                <w:sz w:val="20"/>
                <w:szCs w:val="20"/>
                <w:rtl w:val="0"/>
              </w:rPr>
              <w:t xml:space="preserve">nahezu 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7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Empfohlener Confidence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f69"/>
                <w:sz w:val="20"/>
                <w:szCs w:val="20"/>
                <w:rtl w:val="0"/>
              </w:rPr>
              <w:t xml:space="preserve">ca. 0.85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7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SQM-Abfall bei 9x Memory Scale-up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f69"/>
                <w:sz w:val="20"/>
                <w:szCs w:val="20"/>
                <w:rtl w:val="0"/>
              </w:rPr>
              <w:t xml:space="preserve">ca. 4 %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7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Basis-Generierungszeit Llama 3.1 8B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f69"/>
                <w:sz w:val="20"/>
                <w:szCs w:val="20"/>
                <w:rtl w:val="0"/>
              </w:rPr>
              <w:t xml:space="preserve">ca. 0.9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7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Retrieval-Zeit Tret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f69"/>
                <w:sz w:val="20"/>
                <w:szCs w:val="20"/>
                <w:rtl w:val="0"/>
              </w:rPr>
              <w:t xml:space="preserve">ca. 0.0016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7fb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Zusätzlicher GPU-Speicher für Retriever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f69"/>
                <w:sz w:val="20"/>
                <w:szCs w:val="20"/>
                <w:rtl w:val="0"/>
              </w:rPr>
              <w:t xml:space="preserve">ca. 600 MB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60" w:before="80" w:line="26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Kurzfazit: </w:t>
      </w:r>
      <w:r w:rsidDel="00000000" w:rsidR="00000000" w:rsidRPr="00000000">
        <w:rPr>
          <w:rtl w:val="0"/>
        </w:rPr>
        <w:t xml:space="preserve">Das Paper zeigt, dass PGMR die SPARQL-Struktur-Generierung von der URI-Auflösung trennt und dadurch URI-Halluzinationen nahezu eliminiert. Gleichzeitig verbessert PGMR F1 und SQM gegenüber direkter SPARQL-Generierung und gegenüber RAG auf allen drei evaluierten Settings. Methodisch ist das Paper besonders relevant für Arbeiten, in denen LLMs zwar die Query-Struktur erzeugen können, aber bei Identifiern, Prädikaten oder KG-spezifischem Vokabular instabil werden.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1. Was das Paper konkret untersucht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Ausgangsproblem: LLMs erzeugen beim NL-to-SPARQL häufig plausible, aber falsche KG-URIs. Das ist bei Wikidata besonders problematisch, weil URIs wie Q- und P-IDs semantisch undurchsichtig sind.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Forschungsziel: Prüfen, ob sich Query-Struktur und Identifier-Grounding voneinander trennen lassen, sodass das Modell die SPARQL-Logik erzeugt und ein separater Retriever die korrekten URIs nachträglich auflöst.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2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Forschungsfragen: (1) Verbessert die Trennung von Struktur und Grounding die Query-Korrektheit und reduziert Halluzinationen? (2) Kann ein Confidence Threshold sicheres Refusal-Verhalten ermöglichen? (3) Bleibt die Methode robust, wenn die Memory stark vergrößert und mit irrelevanten Einträgen verrauscht wird?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2. Kernidee von PGMR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Das LLM generiert nicht direkt die finale SPARQL-Query, sondern eine Intermediate Query im SPARQL-PGMR-Format.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dieser Zwischenrepräsentation werden URIs durch Platzhalter wie entity0 oder relation1 ersetzt.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Zu jedem Platzhalter erzeugt das Modell eine natürliche Sprachbeschreibung mit Label und kurzer disambiguierender Beschreibung.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Ein nicht-parametrischer Retriever sucht anschließend im Entity-Memory bzw. Ontology-Memory nach dem passendsten URI und ersetzt die Platzhalter.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Dadurch wird die SPARQL-Syntax vom URI-Grounding entkoppelt. Der LLM muss also nicht aus parametric memory heraus erraten, welche Wikidata-ID die richtige 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line="26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Wichtige methodische Einsicht: </w:t>
      </w:r>
      <w:r w:rsidDel="00000000" w:rsidR="00000000" w:rsidRPr="00000000">
        <w:rPr>
          <w:rtl w:val="0"/>
        </w:rPr>
        <w:t xml:space="preserve">PGMR verschiebt Retrieval zeitlich hinter die Generierung. Klassisches RAG retrieved vor der Generierung aus der Frage heraus. PGMR retrieved nach der Generierung, wenn bereits explizite Label- und Description-Signale für die benötigten URIs vorliegen. Genau daraus erklären die Autor:innen den Leistungsgewinn gegenüber RAG.</w:t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3. Experimenteller Aufbau</w:t>
      </w:r>
    </w:p>
    <w:tbl>
      <w:tblPr>
        <w:tblStyle w:val="Table3"/>
        <w:tblW w:w="95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4"/>
        <w:gridCol w:w="2551"/>
        <w:gridCol w:w="2551"/>
        <w:gridCol w:w="2268"/>
        <w:tblGridChange w:id="0">
          <w:tblGrid>
            <w:gridCol w:w="2154"/>
            <w:gridCol w:w="2551"/>
            <w:gridCol w:w="2551"/>
            <w:gridCol w:w="2268"/>
          </w:tblGrid>
        </w:tblGridChange>
      </w:tblGrid>
      <w:tr>
        <w:trPr>
          <w:cantSplit w:val="0"/>
          <w:tblHeader w:val="0"/>
        </w:trPr>
        <w:tc>
          <w:tcPr>
            <w:shd w:fill="d9e6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Bereich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6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6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Wichtige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6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Warum relevant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Datasets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LCQUAD 2.0 (original split)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21k Train / 3k Val / 6k Test; untagged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großer Standard-Benchmark für Wikidata-SPARQL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Datasets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LCQUAD 2.0 (unknown URI split)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24k Train / 3k Val / 3k Test; Test enthält mindestens eine im Training unbekannte 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misst Out-of-Distribution-Robustheit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Datasets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QALD-10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412 Train / 394 Test; komplexere Queries; Fine-Tuning nach Vortraining auf LCQUAD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kleiner, aber schwieriger und praxisnäher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T5-Small / Llama 3.1 8B / GPT-4o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T5 per FT, Llama per PEFT, GPT-4o per 25-shot prompting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deckt kleine, mittlere und proprietäre starke Modelle 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Direct Generation / RAG / PGMR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Vergleich zwischen direkter Query-Erzeugung, Pre-Generation-Retrieval und Post-Generation-Retrieval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zeigt klar, ob der Gewinn wirklich aus PGMR kommt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8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Metriken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F1, SQM, BLEU, Qid-EM, Pid-EM, URI-Halluzination, Refusal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SQM berücksichtigt semantische Äquivalenz statt bloßer String-Gleichheit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passt besser zu realem Query-Verhalten als Exact Match allein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60" w:line="26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tl w:val="0"/>
        </w:rPr>
        <w:t xml:space="preserve">4. Bewertungslogik des Papers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F1 wird answer-level berechnet: Gold-Query und generierte Query werden ausgeführt, danach wird die Übereinstimmung der Antworten gemessen.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SQM (Semantic Query Match) ist die wichtigste strukturelle Metrik des Papers. Variablennamen werden normalisiert und die Reihenfolge von Tripeln permutation-invariant verglichen.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Qid-EM misst, ob alle Entity-URIs der Vorhersage exakt mit der Referenz übereinstimmen; Pid-EM macht dasselbe für Relationen/Properties.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27" w:right="0" w:hanging="360"/>
        <w:jc w:val="left"/>
        <w:rPr/>
        <w:sectPr>
          <w:headerReference r:id="rId6" w:type="default"/>
          <w:footerReference r:id="rId7" w:type="default"/>
          <w:pgSz w:h="15840" w:w="12240" w:orient="portrait"/>
          <w:pgMar w:bottom="907" w:top="1020" w:left="1134" w:right="1134" w:header="720" w:footer="720"/>
          <w:pgNumType w:start="1"/>
        </w:sect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URI Hallucination misst den Anteil der Queries, in denen mindestens eine URI generiert wird, die in der KG-Memory gar nicht existiert.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5. Zentrale Ergebnistabellen aus dem Paper</w:t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Tabelle 1 - LCQUAD 2.0 (original split)</w:t>
      </w:r>
    </w:p>
    <w:p w:rsidR="00000000" w:rsidDel="00000000" w:rsidP="00000000" w:rsidRDefault="00000000" w:rsidRPr="00000000" w14:paraId="00000059">
      <w:pPr>
        <w:spacing w:after="60" w:before="0" w:line="269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PGMR verbessert F1 und SQM gegenüber Direct Generation und gegenüber RAG deutlich und eliminiert URI-Halluzinationen praktisch vollständig.</w:t>
      </w:r>
      <w:r w:rsidDel="00000000" w:rsidR="00000000" w:rsidRPr="00000000">
        <w:rPr>
          <w:rtl w:val="0"/>
        </w:rPr>
      </w:r>
    </w:p>
    <w:tbl>
      <w:tblPr>
        <w:tblStyle w:val="Table4"/>
        <w:tblW w:w="115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1191"/>
        <w:gridCol w:w="1134"/>
        <w:gridCol w:w="1191"/>
        <w:gridCol w:w="1134"/>
        <w:gridCol w:w="1191"/>
        <w:gridCol w:w="1191"/>
        <w:gridCol w:w="1701"/>
        <w:tblGridChange w:id="0">
          <w:tblGrid>
            <w:gridCol w:w="2835"/>
            <w:gridCol w:w="1191"/>
            <w:gridCol w:w="1134"/>
            <w:gridCol w:w="1191"/>
            <w:gridCol w:w="1134"/>
            <w:gridCol w:w="1191"/>
            <w:gridCol w:w="1191"/>
            <w:gridCol w:w="1701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Modell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SQM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BLEU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Qid 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Pid 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URI-Halluzination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T5-Small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44.84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37.82 %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81.54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42.93 %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89.69 %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30.02 %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T5-Small 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67.30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67.03 %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89.96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73.68 %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95.48 %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14.70 %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T5-Small PGMR (ours)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86.75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86.37 %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94.63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93.17 %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97.05 %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f2e4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0.0 %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Llama 3.1 8B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19.89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0.75 %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66.74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1.52 %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61.23 %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89.84 %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Llama 3.1 8B 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81.66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81.37 %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94.65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90.19 %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91.83 %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7.23 %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Llama 3.1 8B PGMR (ours)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88.73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87.84 %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95.88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94.26 %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93.17 %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f2e4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0.0 %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GPT-4o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25-shot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17.27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2.82 %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56.65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7.04 %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50.11 %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81.02 %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GPT-4o 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25-shot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58.85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27.21 %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69.79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82.27 %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65.86 %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4.88 %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GPT-4o PGMR (ours)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25-shot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62.23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51.24 %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77.49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79.12 %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68.10 %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f2e4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0.01 %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60" w:line="269" w:lineRule="auto"/>
        <w:rPr/>
      </w:pPr>
      <w:r w:rsidDel="00000000" w:rsidR="00000000" w:rsidRPr="00000000">
        <w:rPr>
          <w:rtl w:val="0"/>
        </w:rPr>
        <w:t xml:space="preserve">Interpretation: Das stärkste Setting ist Llama 3.1 8B PGMR mit F1 = 88.73 und SQM = 87.84 %. T5-Small PGMR ist ebenfalls sehr stark und zeigt, dass die Methode auch mit kleineren Modellen funktioniert. Besonders wichtig ist der Halluzinationswert: PGMR liegt bei 0.0 % oder 0.01 %, während Direct Generation je nach Modell zwischen 30.02 % und 89.84 % liegt.</w:t>
      </w:r>
    </w:p>
    <w:p w:rsidR="00000000" w:rsidDel="00000000" w:rsidP="00000000" w:rsidRDefault="00000000" w:rsidRPr="00000000" w14:paraId="000000AB">
      <w:pPr>
        <w:spacing w:after="60" w:line="26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r w:rsidDel="00000000" w:rsidR="00000000" w:rsidRPr="00000000">
        <w:rPr>
          <w:rtl w:val="0"/>
        </w:rPr>
        <w:t xml:space="preserve">Tabelle 2 - LCQUAD 2.0 (unknown URI split)</w:t>
      </w:r>
    </w:p>
    <w:p w:rsidR="00000000" w:rsidDel="00000000" w:rsidP="00000000" w:rsidRDefault="00000000" w:rsidRPr="00000000" w14:paraId="000000AD">
      <w:pPr>
        <w:spacing w:after="60" w:before="0" w:line="269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Dieses Setting prüft die Robustheit, wenn Testfragen mindestens eine zuvor ungesehene URI enthalten.</w:t>
      </w:r>
      <w:r w:rsidDel="00000000" w:rsidR="00000000" w:rsidRPr="00000000">
        <w:rPr>
          <w:rtl w:val="0"/>
        </w:rPr>
      </w:r>
    </w:p>
    <w:tbl>
      <w:tblPr>
        <w:tblStyle w:val="Table5"/>
        <w:tblW w:w="115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1191"/>
        <w:gridCol w:w="1134"/>
        <w:gridCol w:w="1191"/>
        <w:gridCol w:w="1134"/>
        <w:gridCol w:w="1191"/>
        <w:gridCol w:w="1191"/>
        <w:gridCol w:w="1701"/>
        <w:tblGridChange w:id="0">
          <w:tblGrid>
            <w:gridCol w:w="2835"/>
            <w:gridCol w:w="1191"/>
            <w:gridCol w:w="1134"/>
            <w:gridCol w:w="1191"/>
            <w:gridCol w:w="1134"/>
            <w:gridCol w:w="1191"/>
            <w:gridCol w:w="1191"/>
            <w:gridCol w:w="1701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Modell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SQM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BLEU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Qid 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Pid 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URI-Halluzination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T5-Small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22.67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0.16 %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70.44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2.71 %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84.75 %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61.66 %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T5-Small 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67.25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64.14 %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89.85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71.98 %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94.11 %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16.01 %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T5-Small PGMR (ours)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82.13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81.57 %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94.24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90.4 %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95.93 %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f2e4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0.0 %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Llama 3.1 8B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22.19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0.03 %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67.33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0.53 %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65.40 %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91.04 %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Llama 3.1 8B 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82.35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81.24 %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94.95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89.67 %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91.10 %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7.71 %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Llama 3.1 8B PGMR (ours)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84.47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83.33 %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94.35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92.65 %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90.80 %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f2e4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0.0 %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GPT-4o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25-shot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17.27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1.45 %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55.39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4.07 %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48.92 %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85.87 %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GPT-4o 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25-shot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53.79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23.65 %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64.28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83.46 %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63.25 %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3.47 %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GPT-4o PGMR (ours)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25-shot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69.05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58.42 %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82.77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86.14 %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73.10 %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f2e4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0.0 %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60" w:line="269" w:lineRule="auto"/>
        <w:rPr/>
      </w:pPr>
      <w:r w:rsidDel="00000000" w:rsidR="00000000" w:rsidRPr="00000000">
        <w:rPr>
          <w:rtl w:val="0"/>
        </w:rPr>
        <w:t xml:space="preserve">Interpretation: Gerade in diesem Out-of-Distribution-Split zeigt sich der Mehrwert von PGMR. Llama 3.1 8B PGMR erreicht SQM = 83.33 %, während direkte Generierung nur 0.03 % SQM erreicht. Auch hier sinkt der URI-Halluzinationswert auf 0.0 %. Das ist für thesis-relevante Settings wichtig, in denen neue ORKG-Ressourcen oder seltene Prädikate auftreten.</w:t>
      </w:r>
    </w:p>
    <w:p w:rsidR="00000000" w:rsidDel="00000000" w:rsidP="00000000" w:rsidRDefault="00000000" w:rsidRPr="00000000" w14:paraId="000000FF">
      <w:pPr>
        <w:spacing w:after="60" w:line="26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r w:rsidDel="00000000" w:rsidR="00000000" w:rsidRPr="00000000">
        <w:rPr>
          <w:rtl w:val="0"/>
        </w:rPr>
        <w:t xml:space="preserve">Tabelle 3 - QALD-10</w:t>
      </w:r>
    </w:p>
    <w:p w:rsidR="00000000" w:rsidDel="00000000" w:rsidP="00000000" w:rsidRDefault="00000000" w:rsidRPr="00000000" w14:paraId="00000101">
      <w:pPr>
        <w:spacing w:after="60" w:before="0" w:line="269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QALD-10 ist kleiner, aber strukturell schwieriger; die Queries sind komplexer als in LCQUAD 2.0.</w:t>
      </w:r>
      <w:r w:rsidDel="00000000" w:rsidR="00000000" w:rsidRPr="00000000">
        <w:rPr>
          <w:rtl w:val="0"/>
        </w:rPr>
      </w:r>
    </w:p>
    <w:tbl>
      <w:tblPr>
        <w:tblStyle w:val="Table6"/>
        <w:tblW w:w="115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1191"/>
        <w:gridCol w:w="1134"/>
        <w:gridCol w:w="1191"/>
        <w:gridCol w:w="1134"/>
        <w:gridCol w:w="1191"/>
        <w:gridCol w:w="1191"/>
        <w:gridCol w:w="1701"/>
        <w:tblGridChange w:id="0">
          <w:tblGrid>
            <w:gridCol w:w="2835"/>
            <w:gridCol w:w="1191"/>
            <w:gridCol w:w="1134"/>
            <w:gridCol w:w="1191"/>
            <w:gridCol w:w="1134"/>
            <w:gridCol w:w="1191"/>
            <w:gridCol w:w="1191"/>
            <w:gridCol w:w="1701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Modell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SQM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BLEU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Qid 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Pid 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URI-Halluzination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T5-Small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5.07 %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34.37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11.42 %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25.38 %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66.50 %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T5-Small 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23.15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15.98 %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43.47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45.68 %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27.66 %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4.82 %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T5-Small PGMR (ours)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22.12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16.75 %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44.31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42.39 %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27.41 %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f2e4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0.0 %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Llama 3.1 8B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0.25 %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1.27 %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22.33 %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89.09 %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Llama 3.1 8B 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35.46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23.35 %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45.91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60.15 %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36.55 %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8.12 %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Llama 3.1 8B PGMR (ours)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39.41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25.63 %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45.36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53.55 %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37.81 %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f2e4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0.0 %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GPT-4o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25-shot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3.55 %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41.21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11.93 %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46.19 %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83.76 %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GPT-4o 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25-shot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46.52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28.68 %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51.66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74.62 %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53.55 %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bfd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11.42 %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GPT-4o PGMR (ours)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25-shot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51.19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29.19 %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54.95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65.48 %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4ea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46.19 %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4f2e4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0.0 %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after="60" w:line="269" w:lineRule="auto"/>
        <w:rPr/>
      </w:pPr>
      <w:r w:rsidDel="00000000" w:rsidR="00000000" w:rsidRPr="00000000">
        <w:rPr>
          <w:rtl w:val="0"/>
        </w:rPr>
        <w:t xml:space="preserve">Interpretation: Auf dem schwierigeren QALD-10 sinken die absoluten Werte, aber PGMR bleibt fast überall besser als Direct Generation und besser oder konkurrenzfähig gegenüber RAG. Der wichtigste Punkt bleibt erhalten: URI-Halluzination wird wieder auf 0.0 % gedrückt. Gleichzeitig zeigt dieses Setting, dass korrektes URI-Grounding allein nicht genügt, wenn das LLM bei komplexer SPARQL-Struktur selbst an Grenzen stößt.</w:t>
      </w:r>
    </w:p>
    <w:p w:rsidR="00000000" w:rsidDel="00000000" w:rsidP="00000000" w:rsidRDefault="00000000" w:rsidRPr="00000000" w14:paraId="00000153">
      <w:pPr>
        <w:spacing w:after="60" w:line="269" w:lineRule="auto"/>
        <w:rPr/>
        <w:sectPr>
          <w:headerReference r:id="rId8" w:type="default"/>
          <w:footerReference r:id="rId9" w:type="default"/>
          <w:type w:val="nextPage"/>
          <w:pgSz w:h="12240" w:w="15840" w:orient="landscape"/>
          <w:pgMar w:bottom="794" w:top="794" w:left="850" w:right="85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rPr/>
      </w:pPr>
      <w:r w:rsidDel="00000000" w:rsidR="00000000" w:rsidRPr="00000000">
        <w:rPr>
          <w:rtl w:val="0"/>
        </w:rPr>
        <w:t xml:space="preserve">6. Wichtige zusätzliche Befunde aus der Diskussion</w:t>
      </w:r>
    </w:p>
    <w:p w:rsidR="00000000" w:rsidDel="00000000" w:rsidP="00000000" w:rsidRDefault="00000000" w:rsidRPr="00000000" w14:paraId="00000155">
      <w:pPr>
        <w:pStyle w:val="Heading1"/>
        <w:rPr/>
      </w:pPr>
      <w:r w:rsidDel="00000000" w:rsidR="00000000" w:rsidRPr="00000000">
        <w:rPr>
          <w:rtl w:val="0"/>
        </w:rPr>
        <w:t xml:space="preserve">6.1 Antwort-Verweigerung (Refusal) als Sicherheitsmechanismus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Die Autor:innen löschen experimentell einen Anteil von Entity-URIs aus der Memory. Dadurch werden betroffene Testfragen absichtlich unbeantwortbar.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PGMR kann ohne zusätzliches Training eine Antwort verweigern, wenn der Similarity Score des besten Retrieval-Treffers unter einen Confidence Threshold fällt.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Mit steigendem Threshold steigt die Refusal Accuracy auf der unbeantwortbaren Teilmenge, gleichzeitig sinkt aber SQM auf der beantwortbaren Teilmenge. Das Paper beschreibt diese Beziehung als klaren Trade-off.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2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Als praktikabler Balancepunkt wird ein Threshold von ungefähr 0.85 genannt.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rPr/>
      </w:pPr>
      <w:r w:rsidDel="00000000" w:rsidR="00000000" w:rsidRPr="00000000">
        <w:rPr>
          <w:rtl w:val="0"/>
        </w:rPr>
        <w:t xml:space="preserve">6.2 Memory Scaling / Noise Robustness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Die Entity-Memory wird mit irrelevanten Wikidata-Entities künstlich vergrößert - bis auf das 9-fache des ursprünglichen Umfangs.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Diese zusätzlichen Einträge fungieren als Distraktoren für den Retriever.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Trotzdem fällt der SQM von Llama 3.1 8B PGMR auf LCQUAD2 laut Figure 3 nur um ungefähr 4 %.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2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Das ist einer der stärksten Punkte des Papers, weil es zeigt, dass der nicht-parametrische Retriever auch in größerer und verrauschter Memory stabil bleibt.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rPr/>
      </w:pPr>
      <w:r w:rsidDel="00000000" w:rsidR="00000000" w:rsidRPr="00000000">
        <w:rPr>
          <w:rtl w:val="0"/>
        </w:rPr>
        <w:t xml:space="preserve">6.3 Inferenzlatenz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Für Llama 3.1 8B wird die reine Generierungszeit Tdg mit ungefähr 0.9 Sekunden pro Antwort angegeben.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Der Retrieval-Schritt benötigt nur etwa 0.0016 Sekunden sowie ca. 600 MB zusätzlichen GPU-Speicher.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Für PGMR gilt Tpgmr = Tdg + (k * Tret), wobei k die Zahl der in der Intermediate Query vorkommenden URIs 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27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 Tret wesentlich kleiner als Tdg ist, bleibt der zusätzliche Laufzeitaufwand laut Paper praktisch vernachlässigbar.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rPr/>
      </w:pPr>
      <w:r w:rsidDel="00000000" w:rsidR="00000000" w:rsidRPr="00000000">
        <w:rPr>
          <w:rtl w:val="0"/>
        </w:rPr>
        <w:t xml:space="preserve">7. Stärken des Papers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Sehr klare Problemdefinition: Das Paper trennt sauber zwischen zwei Fehlerquellen - Query-Struktur und URI-Grounding.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Starke experimentelle Evidenz über mehrere Modelle, mehrere Datensätze und ein Out-of-Distribution-Setting hinweg.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Eigene sinnvolle Metriken: Vor allem SQM und URI Hallucination sind methodisch hilfreich und näher an realem Query-Verhalten als bloßer String Exact Match.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Der Sicherheitsaspekt ist ungewöhnlich stark ausgearbeitet: Refusal-Mechanismus, Confidence Threshold und Memory-Noise-Analyse liefern mehr als nur klassische Benchmark-Zahlen.</w:t>
      </w:r>
    </w:p>
    <w:p w:rsidR="00000000" w:rsidDel="00000000" w:rsidP="00000000" w:rsidRDefault="00000000" w:rsidRPr="00000000" w14:paraId="00000169">
      <w:pPr>
        <w:pStyle w:val="Heading1"/>
        <w:rPr/>
      </w:pPr>
      <w:r w:rsidDel="00000000" w:rsidR="00000000" w:rsidRPr="00000000">
        <w:rPr>
          <w:rtl w:val="0"/>
        </w:rPr>
        <w:t xml:space="preserve">8. Limitationen des Papers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Das Paper löst das URI-Problem sehr gut, aber nicht automatisch das Problem komplexer SPARQL-Struktur. Das sieht man besonders auf QALD-10.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Die Experimente beziehen sich auf Wikidata-ähnliche URI-Probleme. Für ORKG muss geprüft werden, ob die größte Fehlerquelle ebenfalls auf Identifiern liegt oder eher auf Prädikatsauswahl, Schema-Pfaden und Template-spezifischer Logik.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PGMR setzt eine qualitativ gute Memory mit Labels und Beschreibungen voraus. Schlechte oder mehrdeutige Metadaten würden die Retrieval-Qualität direkt beeinflussen.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Die Arbeit ist methodisch stark, aber nicht domänenspezifisch auf wissenschaftliche ORKG-Templates zugeschnitten.</w:t>
      </w:r>
    </w:p>
    <w:p w:rsidR="00000000" w:rsidDel="00000000" w:rsidP="00000000" w:rsidRDefault="00000000" w:rsidRPr="00000000" w14:paraId="0000016E">
      <w:pPr>
        <w:pStyle w:val="Heading1"/>
        <w:rPr/>
      </w:pPr>
      <w:r w:rsidDel="00000000" w:rsidR="00000000" w:rsidRPr="00000000">
        <w:rPr>
          <w:rtl w:val="0"/>
        </w:rPr>
        <w:t xml:space="preserve">9. Relevanz für meine Bachelorarbeit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Direkte Relevanz: hoch für den Teil "Fehlerreduktion bei NL-to-SPARQL". Das Paper liefert eine konkrete Alternative zu reinem Fine-Tuning oder reinem Prompting.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Besonders interessant für ORKG: Falls d</w:t>
      </w:r>
      <w:r w:rsidDel="00000000" w:rsidR="00000000" w:rsidRPr="00000000">
        <w:rPr>
          <w:rtl w:val="0"/>
        </w:rPr>
        <w:t xml:space="preserve">ie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Modelle Klassen, Prädikate oder Ressourcen halluzinieren oder falsch benennen, könnte </w:t>
      </w:r>
      <w:r w:rsidDel="00000000" w:rsidR="00000000" w:rsidRPr="00000000">
        <w:rPr>
          <w:rtl w:val="0"/>
        </w:rPr>
        <w:t xml:space="preserve">man eine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ORKG-adaptierte PGMR-Variante prüfen.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Für d</w:t>
      </w:r>
      <w:r w:rsidDel="00000000" w:rsidR="00000000" w:rsidRPr="00000000">
        <w:rPr>
          <w:rtl w:val="0"/>
        </w:rPr>
        <w:t xml:space="preserve">ie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Setting mit festen Templates könnte man die Retriever-Memory nicht auf ganz </w:t>
      </w:r>
      <w:r w:rsidDel="00000000" w:rsidR="00000000" w:rsidRPr="00000000">
        <w:rPr>
          <w:rtl w:val="0"/>
        </w:rPr>
        <w:t xml:space="preserve">ORKG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sondern nur auf template-relevante Klassen, Prädikate und ggf. Labels beschränken. Das wäre sogar einfacher und kontrollierter als im Paper.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Das Paper passt methodisch besonders gut zu deen rund um Agentic Context Engineering und nachgelagertes Grounding, auch wenn es selbst nicht ORKG-spezifisch ist.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Für Related Work kann </w:t>
      </w:r>
      <w:r w:rsidDel="00000000" w:rsidR="00000000" w:rsidRPr="00000000">
        <w:rPr>
          <w:rtl w:val="0"/>
        </w:rPr>
        <w:t xml:space="preserve">ich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es als starke Referenz im Block "Hallucination mitigation / retrieval-grounded SPARQL generation" verwenden.</w:t>
      </w:r>
    </w:p>
    <w:p w:rsidR="00000000" w:rsidDel="00000000" w:rsidP="00000000" w:rsidRDefault="00000000" w:rsidRPr="00000000" w14:paraId="00000174">
      <w:pPr>
        <w:pStyle w:val="Heading1"/>
        <w:rPr/>
      </w:pPr>
      <w:r w:rsidDel="00000000" w:rsidR="00000000" w:rsidRPr="00000000">
        <w:rPr>
          <w:rtl w:val="0"/>
        </w:rPr>
        <w:t xml:space="preserve">10. Zitierfähige Kernaussagen für meine Arbeit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Das Paper zeigt, dass Post-Generation Memory Retrieval URI-Halluzinationen bei NL-to-SPARQL nahezu eliminiert, weil Identifier-Grounding aus der eigentlichen Query-Generierung herausgelöst wird.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PGMR verbessert nicht nur die Identifier-Korrektheit, sondern auch die Query-Qualität insgesamt, gemessen sowohl mit Answer-level F1 als auch mit Semantic Query Match.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 Gegensatz zu klassischem RAG findet Retrieval bei PGMR nach der Generierung statt und nutzt dadurch explizit erzeugte Label- und Description-Signale für das URI-Matching.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Der im Paper vorgeschlagene Confidence-Threshold macht aus dem Retrieval-Schritt zugleich einen Sicherheitsmechanismus, weil das System unsichere Fälle ablehnen kann statt falsche URIs zu fabrizieren.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Die Memory-Scaling-Analyse deutet darauf hin, dass PGMR auch bei stark vergrößerter und verrauschter Memory robust bleibt.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rPr/>
      </w:pPr>
      <w:r w:rsidDel="00000000" w:rsidR="00000000" w:rsidRPr="00000000">
        <w:rPr>
          <w:rtl w:val="0"/>
        </w:rPr>
        <w:t xml:space="preserve">11. Mein Gesamturteil</w:t>
      </w:r>
    </w:p>
    <w:p w:rsidR="00000000" w:rsidDel="00000000" w:rsidP="00000000" w:rsidRDefault="00000000" w:rsidRPr="00000000" w14:paraId="0000017B">
      <w:pPr>
        <w:spacing w:after="60" w:line="269" w:lineRule="auto"/>
        <w:rPr/>
      </w:pPr>
      <w:r w:rsidDel="00000000" w:rsidR="00000000" w:rsidRPr="00000000">
        <w:rPr>
          <w:rtl w:val="0"/>
        </w:rPr>
        <w:t xml:space="preserve">Dieses Paper ist für meine Bachelorarbeit sehr wertvoll, wenn man einen methodischen Baustein sucht, der nicht einfach nur ein größeres Modell trainiert, sondern die NL-to-SPARQL-Pipeline strukturell verbessert. Für ORKG ist die Methode nicht direkt plug-and-play, aber die Grundidee - Query-Struktur zuerst, URI-/Schema-Grounding danach - ist stark und gut auf meine Pipeline übertragbar. Besonders nützlich ist das Paper für den Related-Work-Teil, für die Begründung eines modularen Designs und für die Diskussion von Halluzinations- und Robustheitsfragen.</w:t>
      </w:r>
    </w:p>
    <w:sectPr>
      <w:headerReference r:id="rId10" w:type="default"/>
      <w:footerReference r:id="rId11" w:type="default"/>
      <w:type w:val="nextPage"/>
      <w:pgSz w:h="15840" w:w="12240" w:orient="portrait"/>
      <w:pgMar w:bottom="907" w:top="1020" w:left="1134" w:right="1134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6464"/>
        <w:sz w:val="18"/>
        <w:szCs w:val="18"/>
        <w:u w:val="none"/>
        <w:shd w:fill="auto" w:val="clear"/>
        <w:vertAlign w:val="baseline"/>
        <w:rtl w:val="0"/>
      </w:rPr>
      <w:t xml:space="preserve">Sharma et al. (2026) - Analyse - Seite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6464"/>
        <w:sz w:val="18"/>
        <w:szCs w:val="18"/>
        <w:u w:val="none"/>
        <w:shd w:fill="auto" w:val="clear"/>
        <w:vertAlign w:val="baseline"/>
        <w:rtl w:val="0"/>
      </w:rPr>
      <w:t xml:space="preserve">Sharma et al. (2026) - Tabellenübersicht - Seite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6464"/>
        <w:sz w:val="18"/>
        <w:szCs w:val="18"/>
        <w:u w:val="none"/>
        <w:shd w:fill="auto" w:val="clear"/>
        <w:vertAlign w:val="baseline"/>
        <w:rtl w:val="0"/>
      </w:rPr>
      <w:t xml:space="preserve">Sharma et al. (2026) - Analyse - Seite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8"/>
        <w:szCs w:val="18"/>
        <w:u w:val="none"/>
        <w:shd w:fill="auto" w:val="clear"/>
        <w:vertAlign w:val="baseline"/>
        <w:rtl w:val="0"/>
      </w:rPr>
      <w:t xml:space="preserve">Paper Analysis Dossier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8"/>
        <w:szCs w:val="18"/>
        <w:u w:val="none"/>
        <w:shd w:fill="auto" w:val="clear"/>
        <w:vertAlign w:val="baseline"/>
        <w:rtl w:val="0"/>
      </w:rPr>
      <w:t xml:space="preserve">Ergebnistabellen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8"/>
        <w:szCs w:val="18"/>
        <w:u w:val="none"/>
        <w:shd w:fill="auto" w:val="clear"/>
        <w:vertAlign w:val="baseline"/>
        <w:rtl w:val="0"/>
      </w:rPr>
      <w:t xml:space="preserve">Paper Analysis Dossier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1f3f6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1f3f69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395c8c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7365d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header" Target="head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