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rlito" w:hAnsi="Carlito"/>
          <w:color w:val="000000"/>
          <w:sz w:val="40"/>
        </w:rPr>
        <w:t>Sprint 3 Week 3 Final Governance &amp; Handover Closeout Record</w:t>
      </w:r>
    </w:p>
    <w:p>
      <w:pPr>
        <w:spacing w:after="200"/>
      </w:pPr>
      <w:r>
        <w:rPr>
          <w:rFonts w:ascii="Carlito" w:hAnsi="Carlito"/>
          <w:color w:val="5A5A5A"/>
          <w:sz w:val="24"/>
        </w:rPr>
        <w:t>Task 81 - Close the final project scope, risk, decision, stakeholder and handover position</w:t>
      </w:r>
    </w:p>
    <w:tbl>
      <w:tblPr>
        <w:tblStyle w:val="TableGrid"/>
        <w:tblW w:type="auto" w:w="0"/>
        <w:jc w:val="left"/>
        <w:tblLook w:firstColumn="1" w:firstRow="1" w:lastColumn="0" w:lastRow="0" w:noHBand="0" w:noVBand="1" w:val="04A0"/>
      </w:tblPr>
      <w:tblGrid>
        <w:gridCol w:w="2459"/>
        <w:gridCol w:w="2459"/>
        <w:gridCol w:w="2459"/>
        <w:gridCol w:w="2459"/>
      </w:tblGrid>
      <w:tr>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Project</w:t>
            </w:r>
          </w:p>
        </w:tc>
        <w:tc>
          <w:tcPr>
            <w:tcW w:type="dxa" w:w="3100"/>
            <w:tcMar>
              <w:top w:w="70" w:type="dxa"/>
              <w:start w:w="70" w:type="dxa"/>
              <w:bottom w:w="70" w:type="dxa"/>
              <w:end w:w="70" w:type="dxa"/>
            </w:tcMar>
            <w:vAlign w:val="center"/>
          </w:tcPr>
          <w:p>
            <w:pPr>
              <w:spacing w:after="20" w:before="0" w:line="240" w:lineRule="auto"/>
            </w:pPr>
            <w:r>
              <w:rPr>
                <w:rFonts w:ascii="Carlito" w:hAnsi="Carlito"/>
                <w:b w:val="0"/>
                <w:color w:val="000000"/>
                <w:sz w:val="18"/>
              </w:rPr>
              <w:t>P000785CSITCP / Group 74 - Team A</w:t>
            </w:r>
          </w:p>
        </w:tc>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Owner</w:t>
            </w:r>
          </w:p>
        </w:tc>
        <w:tc>
          <w:tcPr>
            <w:tcW w:type="dxa" w:w="2200"/>
            <w:tcMar>
              <w:top w:w="70" w:type="dxa"/>
              <w:start w:w="70" w:type="dxa"/>
              <w:bottom w:w="70" w:type="dxa"/>
              <w:end w:w="70" w:type="dxa"/>
            </w:tcMar>
            <w:vAlign w:val="center"/>
          </w:tcPr>
          <w:p>
            <w:pPr>
              <w:spacing w:after="20" w:before="0" w:line="240" w:lineRule="auto"/>
            </w:pPr>
            <w:r>
              <w:rPr>
                <w:rFonts w:ascii="Carlito" w:hAnsi="Carlito"/>
                <w:b w:val="0"/>
                <w:color w:val="000000"/>
                <w:sz w:val="18"/>
              </w:rPr>
              <w:t>Aryan Rajendra - Project Manager</w:t>
            </w:r>
          </w:p>
        </w:tc>
      </w:tr>
      <w:tr>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Status</w:t>
            </w:r>
          </w:p>
        </w:tc>
        <w:tc>
          <w:tcPr>
            <w:tcW w:type="dxa" w:w="3100"/>
            <w:tcMar>
              <w:top w:w="70" w:type="dxa"/>
              <w:start w:w="70" w:type="dxa"/>
              <w:bottom w:w="70" w:type="dxa"/>
              <w:end w:w="70" w:type="dxa"/>
            </w:tcMar>
            <w:vAlign w:val="center"/>
          </w:tcPr>
          <w:p>
            <w:pPr>
              <w:spacing w:after="20" w:before="0" w:line="240" w:lineRule="auto"/>
            </w:pPr>
            <w:r>
              <w:rPr>
                <w:rFonts w:ascii="Carlito" w:hAnsi="Carlito"/>
                <w:b w:val="0"/>
                <w:color w:val="000000"/>
                <w:sz w:val="18"/>
              </w:rPr>
              <w:t>Final / Task 81 completion evidence</w:t>
            </w:r>
          </w:p>
        </w:tc>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Current as of</w:t>
            </w:r>
          </w:p>
        </w:tc>
        <w:tc>
          <w:tcPr>
            <w:tcW w:type="dxa" w:w="2200"/>
            <w:tcMar>
              <w:top w:w="70" w:type="dxa"/>
              <w:start w:w="70" w:type="dxa"/>
              <w:bottom w:w="70" w:type="dxa"/>
              <w:end w:w="70" w:type="dxa"/>
            </w:tcMar>
            <w:vAlign w:val="center"/>
          </w:tcPr>
          <w:p>
            <w:pPr>
              <w:spacing w:after="20" w:before="0" w:line="240" w:lineRule="auto"/>
            </w:pPr>
            <w:r>
              <w:rPr>
                <w:rFonts w:ascii="Carlito" w:hAnsi="Carlito"/>
                <w:b w:val="0"/>
                <w:color w:val="000000"/>
                <w:sz w:val="18"/>
              </w:rPr>
              <w:t>27 October 2026</w:t>
            </w:r>
          </w:p>
        </w:tc>
      </w:tr>
    </w:tbl>
    <w:p>
      <w:pPr>
        <w:spacing w:after="0"/>
      </w:pPr>
    </w:p>
    <w:p>
      <w:pPr>
        <w:pStyle w:val="Heading1"/>
        <w:keepNext/>
        <w:spacing w:before="240" w:after="100"/>
      </w:pPr>
      <w:r>
        <w:t>1. Purpose and final closeout context</w:t>
      </w:r>
    </w:p>
    <w:p>
      <w:pPr>
        <w:spacing w:after="120" w:line="252" w:lineRule="auto"/>
      </w:pPr>
      <w:r>
        <w:rPr>
          <w:rFonts w:ascii="Carlito" w:hAnsi="Carlito"/>
          <w:i w:val="0"/>
          <w:sz w:val="21"/>
        </w:rPr>
        <w:t>This record closes Team 74's project-governance position for the OAPA Academy Moodle project. It reconciles the final client-agreed scope, the completed implementation and testing position, stakeholder decisions, residual risks and dependencies, the local Moodle release baseline, and the final handover route.</w:t>
      </w:r>
    </w:p>
    <w:p>
      <w:pPr>
        <w:spacing w:after="120" w:line="252" w:lineRule="auto"/>
      </w:pPr>
      <w:r>
        <w:rPr>
          <w:rFonts w:ascii="Carlito" w:hAnsi="Carlito"/>
          <w:i w:val="0"/>
          <w:sz w:val="21"/>
        </w:rPr>
        <w:t>The final OAPA client closeout meeting was held on 27 October 2026 with Michael Cowling and Team 74 representatives. The completed template and reuse process were demonstrated and discussed. Michael's response was positive: he stated that the template looked good, indicated that moving it onto the OAPA server would be useful if feasible, and confirmed that if server upload did not occur before closeout the priority was that OAPA receive the completed artefact and final documentation.</w:t>
      </w:r>
    </w:p>
    <w:p>
      <w:pPr>
        <w:spacing w:after="120" w:line="252" w:lineRule="auto"/>
      </w:pPr>
      <w:r>
        <w:rPr>
          <w:rFonts w:ascii="Carlito" w:hAnsi="Carlito"/>
          <w:i w:val="0"/>
          <w:sz w:val="21"/>
        </w:rPr>
        <w:t>Michael also stated that, from a handover point of view, the project appeared to have everything required and that the remaining closeout activity was sharing the final documents. This confirms the distinction already used in project governance: the completed local Moodle template is the delivered release baseline, while hosted transfer or reproduction is a post-delivery continuation rather than an unresolved Team 74 development blocker.</w:t>
      </w:r>
    </w:p>
    <w:tbl>
      <w:tblPr>
        <w:tblStyle w:val="TableGrid"/>
        <w:tblW w:type="auto" w:w="0"/>
        <w:jc w:val="left"/>
        <w:tblLook w:firstColumn="1" w:firstRow="1" w:lastColumn="0" w:lastRow="0" w:noHBand="0" w:noVBand="1" w:val="04A0"/>
      </w:tblPr>
      <w:tblGrid>
        <w:gridCol w:w="9835"/>
      </w:tblGrid>
      <w:tr>
        <w:tc>
          <w:tcPr>
            <w:tcW w:type="dxa" w:w="9835"/>
            <w:shd w:fill="F5F5F5"/>
            <w:tcMar>
              <w:top w:w="90" w:type="dxa"/>
              <w:start w:w="80" w:type="dxa"/>
              <w:bottom w:w="90" w:type="dxa"/>
              <w:end w:w="80" w:type="dxa"/>
            </w:tcMar>
          </w:tcPr>
          <w:p>
            <w:pPr>
              <w:spacing w:after="0"/>
            </w:pPr>
            <w:r>
              <w:rPr>
                <w:rFonts w:ascii="Carlito" w:hAnsi="Carlito"/>
                <w:i/>
                <w:sz w:val="19"/>
              </w:rPr>
              <w:t>Scope control: the project is assessed against the final client-agreed acceptance baseline after stakeholder refinement. Requirements formally removed or changed by OAPA are not treated as incomplete work. No new development scope was introduced during final closeout.</w:t>
            </w:r>
          </w:p>
        </w:tc>
      </w:tr>
    </w:tbl>
    <w:p>
      <w:pPr>
        <w:spacing w:after="0"/>
      </w:pPr>
    </w:p>
    <w:p>
      <w:pPr>
        <w:pStyle w:val="Heading1"/>
        <w:keepNext/>
        <w:spacing w:before="240" w:after="100"/>
      </w:pPr>
      <w:r>
        <w:t>2. Delivered scope and final release baseline</w:t>
      </w:r>
    </w:p>
    <w:tbl>
      <w:tblPr>
        <w:tblStyle w:val="TableGrid"/>
        <w:tblW w:type="auto" w:w="0"/>
        <w:jc w:val="left"/>
        <w:tblLook w:firstColumn="1" w:firstRow="1" w:lastColumn="0" w:lastRow="0" w:noHBand="0" w:noVBand="1" w:val="04A0"/>
      </w:tblPr>
      <w:tblGrid>
        <w:gridCol w:w="2459"/>
        <w:gridCol w:w="2459"/>
        <w:gridCol w:w="2459"/>
        <w:gridCol w:w="2459"/>
      </w:tblGrid>
      <w:tr>
        <w:trPr>
          <w:tblHeader w:val="true"/>
        </w:trPr>
        <w:tc>
          <w:tcPr>
            <w:tcW w:type="dxa" w:w="12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Delivery area</w:t>
            </w:r>
          </w:p>
        </w:tc>
        <w:tc>
          <w:tcPr>
            <w:tcW w:type="dxa" w:w="9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Final status</w:t>
            </w:r>
          </w:p>
        </w:tc>
        <w:tc>
          <w:tcPr>
            <w:tcW w:type="dxa" w:w="29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Evidence / final position</w:t>
            </w:r>
          </w:p>
        </w:tc>
        <w:tc>
          <w:tcPr>
            <w:tcW w:type="dxa" w:w="17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Closeout treatment</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Reusable Moodle course framework</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Reusable Course Home, Modules 1-3, Workshops 1-3 and Assessment structure completed and validated.</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future courses reuse the framework rather than rebuild it.</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Sequential learner progression</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Required completion/restriction paths were implemented and validated through learner test states.</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facilitator configuration remains possible where Moodle supports it.</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Verified workshop attendance</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Workshop attendance is facilitator-controlled/verified rather than learner self-declared.</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hosted integrations can be enhanced later if OAPA chooses.</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2-of-3 assessment eligibility</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Assessment remains unavailable after one workshop and becomes eligible after any two verified workshops.</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and demonstrated as a core learner journey.</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Assessment workflow</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Soft feedback/revision and direct-final paths, pass/fail treatment and facilitator discretion were incorporated into the final workflow.</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against the final client-agreed workflow.</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Interactive self-check</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H5P Question Set is supported in the final solution and a Moodle-native Quiz fallback is retained.</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with resilience through the native fallback.</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Participants / tracking / reporting</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Role-appropriate Participants and progress/reporting controls were implemented and finalised.</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evidence retained in Sprint 3 repository artefacts.</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Branding, navigation and accessibility</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Final course-level OAPA branding, navigation, responsive behaviour and accessibility hardening were completed.</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Closed as delivered; site-level styling remains subject to OAPA permissions.</w:t>
            </w:r>
          </w:p>
        </w:tc>
      </w:tr>
      <w:tr>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Reusable release / handover package</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6"/>
              </w:rPr>
              <w:t>Delivered</w:t>
            </w:r>
          </w:p>
        </w:tc>
        <w:tc>
          <w:tcPr>
            <w:tcW w:type="dxa" w:w="2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local Moodle implementation, reuse guidance and handover documentation form the guaranteed final artefact path.</w:t>
            </w:r>
          </w:p>
        </w:tc>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6"/>
              </w:rPr>
              <w:t>Local release is the handover baseline; hosted reproduction is optional continuation.</w:t>
            </w:r>
          </w:p>
        </w:tc>
      </w:tr>
    </w:tbl>
    <w:p>
      <w:pPr>
        <w:spacing w:after="0"/>
      </w:pPr>
    </w:p>
    <w:p>
      <w:pPr>
        <w:pStyle w:val="Heading1"/>
        <w:keepNext/>
        <w:spacing w:before="240" w:after="100"/>
      </w:pPr>
      <w:r>
        <w:t>3. Final stakeholder position confirmed on 27 October 2026</w:t>
      </w:r>
    </w:p>
    <w:tbl>
      <w:tblPr>
        <w:tblStyle w:val="TableGrid"/>
        <w:tblW w:type="auto" w:w="0"/>
        <w:jc w:val="left"/>
        <w:tblLook w:firstColumn="1" w:firstRow="1" w:lastColumn="0" w:lastRow="0" w:noHBand="0" w:noVBand="1" w:val="04A0"/>
      </w:tblPr>
      <w:tblGrid>
        <w:gridCol w:w="3278"/>
        <w:gridCol w:w="3278"/>
        <w:gridCol w:w="3278"/>
      </w:tblGrid>
      <w:tr>
        <w:trPr>
          <w:tblHeader w:val="true"/>
        </w:trPr>
        <w:tc>
          <w:tcPr>
            <w:tcW w:type="dxa" w:w="16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Stakeholder / decision area</w:t>
            </w:r>
          </w:p>
        </w:tc>
        <w:tc>
          <w:tcPr>
            <w:tcW w:type="dxa" w:w="33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Final closeout position</w:t>
            </w:r>
          </w:p>
        </w:tc>
        <w:tc>
          <w:tcPr>
            <w:tcW w:type="dxa" w:w="19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Governance consequence</w:t>
            </w:r>
          </w:p>
        </w:tc>
      </w:tr>
      <w:tr>
        <w:tc>
          <w:tcPr>
            <w:tcW w:type="dxa" w:w="1600"/>
            <w:tcMar>
              <w:top w:w="70" w:type="dxa"/>
              <w:start w:w="70" w:type="dxa"/>
              <w:bottom w:w="70" w:type="dxa"/>
              <w:end w:w="70" w:type="dxa"/>
            </w:tcMar>
            <w:vAlign w:val="top"/>
          </w:tcPr>
          <w:p>
            <w:pPr>
              <w:spacing w:after="20" w:before="0" w:line="240" w:lineRule="auto"/>
            </w:pPr>
            <w:r>
              <w:rPr>
                <w:rFonts w:ascii="Carlito" w:hAnsi="Carlito"/>
                <w:b w:val="0"/>
                <w:color w:val="000000"/>
                <w:sz w:val="16"/>
              </w:rPr>
              <w:t>Client acceptance of delivered template</w:t>
            </w:r>
          </w:p>
        </w:tc>
        <w:tc>
          <w:tcPr>
            <w:tcW w:type="dxa" w:w="3300"/>
            <w:tcMar>
              <w:top w:w="70" w:type="dxa"/>
              <w:start w:w="70" w:type="dxa"/>
              <w:bottom w:w="70" w:type="dxa"/>
              <w:end w:w="70" w:type="dxa"/>
            </w:tcMar>
            <w:vAlign w:val="top"/>
          </w:tcPr>
          <w:p>
            <w:pPr>
              <w:spacing w:after="20" w:before="0" w:line="240" w:lineRule="auto"/>
            </w:pPr>
            <w:r>
              <w:rPr>
                <w:rFonts w:ascii="Carlito" w:hAnsi="Carlito"/>
                <w:b w:val="0"/>
                <w:color w:val="000000"/>
                <w:sz w:val="16"/>
              </w:rPr>
              <w:t>Michael reviewed the final template direction positively and stated that it looked really good.</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Record the implementation as accepted for handover rather than as a provisional prototype.</w:t>
            </w:r>
          </w:p>
        </w:tc>
      </w:tr>
      <w:tr>
        <w:tc>
          <w:tcPr>
            <w:tcW w:type="dxa" w:w="1600"/>
            <w:tcMar>
              <w:top w:w="70" w:type="dxa"/>
              <w:start w:w="70" w:type="dxa"/>
              <w:bottom w:w="70" w:type="dxa"/>
              <w:end w:w="70" w:type="dxa"/>
            </w:tcMar>
            <w:vAlign w:val="top"/>
          </w:tcPr>
          <w:p>
            <w:pPr>
              <w:spacing w:after="20" w:before="0" w:line="240" w:lineRule="auto"/>
            </w:pPr>
            <w:r>
              <w:rPr>
                <w:rFonts w:ascii="Carlito" w:hAnsi="Carlito"/>
                <w:b w:val="0"/>
                <w:color w:val="000000"/>
                <w:sz w:val="16"/>
              </w:rPr>
              <w:t>OAPA-hosted transfer</w:t>
            </w:r>
          </w:p>
        </w:tc>
        <w:tc>
          <w:tcPr>
            <w:tcW w:type="dxa" w:w="3300"/>
            <w:tcMar>
              <w:top w:w="70" w:type="dxa"/>
              <w:start w:w="70" w:type="dxa"/>
              <w:bottom w:w="70" w:type="dxa"/>
              <w:end w:w="70" w:type="dxa"/>
            </w:tcMar>
            <w:vAlign w:val="top"/>
          </w:tcPr>
          <w:p>
            <w:pPr>
              <w:spacing w:after="20" w:before="0" w:line="240" w:lineRule="auto"/>
            </w:pPr>
            <w:r>
              <w:rPr>
                <w:rFonts w:ascii="Carlito" w:hAnsi="Carlito"/>
                <w:b w:val="0"/>
                <w:color w:val="000000"/>
                <w:sz w:val="16"/>
              </w:rPr>
              <w:t>Michael indicated that putting the template on the server would be useful if feasible, but also confirmed that failure to upload it before closeout should not prevent handover provided OAPA receives the artefact and documentation.</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Hosted transfer remains a future OAPA/admin continuation and is not an active delivery blocker.</w:t>
            </w:r>
          </w:p>
        </w:tc>
      </w:tr>
      <w:tr>
        <w:tc>
          <w:tcPr>
            <w:tcW w:type="dxa" w:w="1600"/>
            <w:tcMar>
              <w:top w:w="70" w:type="dxa"/>
              <w:start w:w="70" w:type="dxa"/>
              <w:bottom w:w="70" w:type="dxa"/>
              <w:end w:w="70" w:type="dxa"/>
            </w:tcMar>
            <w:vAlign w:val="top"/>
          </w:tcPr>
          <w:p>
            <w:pPr>
              <w:spacing w:after="20" w:before="0" w:line="240" w:lineRule="auto"/>
            </w:pPr>
            <w:r>
              <w:rPr>
                <w:rFonts w:ascii="Carlito" w:hAnsi="Carlito"/>
                <w:b w:val="0"/>
                <w:color w:val="000000"/>
                <w:sz w:val="16"/>
              </w:rPr>
              <w:t>Future OAPA use</w:t>
            </w:r>
          </w:p>
        </w:tc>
        <w:tc>
          <w:tcPr>
            <w:tcW w:type="dxa" w:w="3300"/>
            <w:tcMar>
              <w:top w:w="70" w:type="dxa"/>
              <w:start w:w="70" w:type="dxa"/>
              <w:bottom w:w="70" w:type="dxa"/>
              <w:end w:w="70" w:type="dxa"/>
            </w:tcMar>
            <w:vAlign w:val="top"/>
          </w:tcPr>
          <w:p>
            <w:pPr>
              <w:spacing w:after="20" w:before="0" w:line="240" w:lineRule="auto"/>
            </w:pPr>
            <w:r>
              <w:rPr>
                <w:rFonts w:ascii="Carlito" w:hAnsi="Carlito"/>
                <w:b w:val="0"/>
                <w:color w:val="000000"/>
                <w:sz w:val="16"/>
              </w:rPr>
              <w:t>Michael indicated that if the template is placed on the server it could reasonably be used for a future course.</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Record reuse as credible client value without claiming that future production use has already occurred.</w:t>
            </w:r>
          </w:p>
        </w:tc>
      </w:tr>
      <w:tr>
        <w:tc>
          <w:tcPr>
            <w:tcW w:type="dxa" w:w="1600"/>
            <w:tcMar>
              <w:top w:w="70" w:type="dxa"/>
              <w:start w:w="70" w:type="dxa"/>
              <w:bottom w:w="70" w:type="dxa"/>
              <w:end w:w="70" w:type="dxa"/>
            </w:tcMar>
            <w:vAlign w:val="top"/>
          </w:tcPr>
          <w:p>
            <w:pPr>
              <w:spacing w:after="20" w:before="0" w:line="240" w:lineRule="auto"/>
            </w:pPr>
            <w:r>
              <w:rPr>
                <w:rFonts w:ascii="Carlito" w:hAnsi="Carlito"/>
                <w:b w:val="0"/>
                <w:color w:val="000000"/>
                <w:sz w:val="16"/>
              </w:rPr>
              <w:t>Final documentation</w:t>
            </w:r>
          </w:p>
        </w:tc>
        <w:tc>
          <w:tcPr>
            <w:tcW w:type="dxa" w:w="3300"/>
            <w:tcMar>
              <w:top w:w="70" w:type="dxa"/>
              <w:start w:w="70" w:type="dxa"/>
              <w:bottom w:w="70" w:type="dxa"/>
              <w:end w:w="70" w:type="dxa"/>
            </w:tcMar>
            <w:vAlign w:val="top"/>
          </w:tcPr>
          <w:p>
            <w:pPr>
              <w:spacing w:after="20" w:before="0" w:line="240" w:lineRule="auto"/>
            </w:pPr>
            <w:r>
              <w:rPr>
                <w:rFonts w:ascii="Carlito" w:hAnsi="Carlito"/>
                <w:b w:val="0"/>
                <w:color w:val="000000"/>
                <w:sz w:val="16"/>
              </w:rPr>
              <w:t>Michael confirmed that the remaining handover action is sharing the final documents with OAPA.</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Final PM closeout prioritises complete, internally consistent documentation and release evidence.</w:t>
            </w:r>
          </w:p>
        </w:tc>
      </w:tr>
      <w:tr>
        <w:tc>
          <w:tcPr>
            <w:tcW w:type="dxa" w:w="1600"/>
            <w:tcMar>
              <w:top w:w="70" w:type="dxa"/>
              <w:start w:w="70" w:type="dxa"/>
              <w:bottom w:w="70" w:type="dxa"/>
              <w:end w:w="70" w:type="dxa"/>
            </w:tcMar>
            <w:vAlign w:val="top"/>
          </w:tcPr>
          <w:p>
            <w:pPr>
              <w:spacing w:after="20" w:before="0" w:line="240" w:lineRule="auto"/>
            </w:pPr>
            <w:r>
              <w:rPr>
                <w:rFonts w:ascii="Carlito" w:hAnsi="Carlito"/>
                <w:b w:val="0"/>
                <w:color w:val="000000"/>
                <w:sz w:val="16"/>
              </w:rPr>
              <w:t>Supervisor / governance position</w:t>
            </w:r>
          </w:p>
        </w:tc>
        <w:tc>
          <w:tcPr>
            <w:tcW w:type="dxa" w:w="3300"/>
            <w:tcMar>
              <w:top w:w="70" w:type="dxa"/>
              <w:start w:w="70" w:type="dxa"/>
              <w:bottom w:w="70" w:type="dxa"/>
              <w:end w:w="70" w:type="dxa"/>
            </w:tcMar>
            <w:vAlign w:val="top"/>
          </w:tcPr>
          <w:p>
            <w:pPr>
              <w:spacing w:after="20" w:before="0" w:line="240" w:lineRule="auto"/>
            </w:pPr>
            <w:r>
              <w:rPr>
                <w:rFonts w:ascii="Carlito" w:hAnsi="Carlito"/>
                <w:b w:val="0"/>
                <w:color w:val="000000"/>
                <w:sz w:val="16"/>
              </w:rPr>
              <w:t>Week 3 supervisor communication and presentation material had already been provided despite Aryan's pre-arranged citizenship appointment; no new product-development blocker was introduced.</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No supervisor-side issue remains recorded as an active delivery risk at closeout.</w:t>
            </w:r>
          </w:p>
        </w:tc>
      </w:tr>
    </w:tbl>
    <w:p>
      <w:pPr>
        <w:spacing w:after="0"/>
      </w:pPr>
    </w:p>
    <w:p>
      <w:pPr>
        <w:pStyle w:val="Heading1"/>
        <w:keepNext/>
        <w:spacing w:before="240" w:after="100"/>
      </w:pPr>
      <w:r>
        <w:t>4. Final client closeout outcome</w:t>
      </w:r>
    </w:p>
    <w:p>
      <w:pPr>
        <w:spacing w:after="120" w:line="252" w:lineRule="auto"/>
      </w:pPr>
      <w:r>
        <w:rPr>
          <w:rFonts w:ascii="Carlito" w:hAnsi="Carlito"/>
          <w:i w:val="0"/>
          <w:sz w:val="21"/>
        </w:rPr>
        <w:t>The final meeting closed the client-facing implementation discussion rather than creating a new sprint of work. The client was shown the completed template/reuse position and asked practical questions about how the template could be moved or reused. Reshan explained the reuse process, and Michael confirmed that the demonstrated result met the handover intent.</w:t>
      </w:r>
    </w:p>
    <w:p>
      <w:pPr>
        <w:spacing w:after="120" w:line="252" w:lineRule="auto"/>
      </w:pPr>
      <w:r>
        <w:rPr>
          <w:rFonts w:ascii="Carlito" w:hAnsi="Carlito"/>
          <w:i w:val="0"/>
          <w:sz w:val="21"/>
        </w:rPr>
        <w:t>The strongest closeout evidence is the client's distinction between desirable hosted transfer and required handover content. Michael explicitly said that server upload would be "awesome" if achieved, but followed this by stating that if the team did not get to uploading it, the priority was simply to make sure OAPA had what it needed. He then confirmed that, from a handover point of view, the project appeared complete apart from sharing final documents.</w:t>
      </w:r>
    </w:p>
    <w:p>
      <w:pPr>
        <w:spacing w:after="120" w:line="252" w:lineRule="auto"/>
      </w:pPr>
      <w:r>
        <w:rPr>
          <w:rFonts w:ascii="Carlito" w:hAnsi="Carlito"/>
          <w:i w:val="0"/>
          <w:sz w:val="21"/>
        </w:rPr>
        <w:t>Accordingly, Team 74 closes the project on the completed local Moodle release and supporting handover package. Any later OAPA-hosted reproduction, validation or use in a live future course is a continuation action owned by OAPA and/or the nominated technical handover path, not unfinished capstone implementation.</w:t>
      </w:r>
    </w:p>
    <w:p>
      <w:pPr>
        <w:pStyle w:val="Heading1"/>
        <w:keepNext/>
        <w:spacing w:before="240" w:after="100"/>
      </w:pPr>
      <w:r>
        <w:t>5. Final risk, dependency and decision closeout</w:t>
      </w:r>
    </w:p>
    <w:tbl>
      <w:tblPr>
        <w:tblStyle w:val="TableGrid"/>
        <w:tblW w:type="auto" w:w="0"/>
        <w:jc w:val="left"/>
        <w:tblLook w:firstColumn="1" w:firstRow="1" w:lastColumn="0" w:lastRow="0" w:noHBand="0" w:noVBand="1" w:val="04A0"/>
      </w:tblPr>
      <w:tblGrid>
        <w:gridCol w:w="1639"/>
        <w:gridCol w:w="1639"/>
        <w:gridCol w:w="1639"/>
        <w:gridCol w:w="1639"/>
        <w:gridCol w:w="1639"/>
        <w:gridCol w:w="1639"/>
      </w:tblGrid>
      <w:tr>
        <w:trPr>
          <w:tblHeader w:val="true"/>
        </w:trPr>
        <w:tc>
          <w:tcPr>
            <w:tcW w:type="dxa" w:w="35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ID</w:t>
            </w:r>
          </w:p>
        </w:tc>
        <w:tc>
          <w:tcPr>
            <w:tcW w:type="dxa" w:w="15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Item</w:t>
            </w:r>
          </w:p>
        </w:tc>
        <w:tc>
          <w:tcPr>
            <w:tcW w:type="dxa" w:w="11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Type / severity</w:t>
            </w:r>
          </w:p>
        </w:tc>
        <w:tc>
          <w:tcPr>
            <w:tcW w:type="dxa" w:w="145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Final state</w:t>
            </w:r>
          </w:p>
        </w:tc>
        <w:tc>
          <w:tcPr>
            <w:tcW w:type="dxa" w:w="12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Owner after handover</w:t>
            </w:r>
          </w:p>
        </w:tc>
        <w:tc>
          <w:tcPr>
            <w:tcW w:type="dxa" w:w="17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Closeout action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R1</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OAPA hosted-environment transfer</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External dependency / Low</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Open continuation; no delivery impact</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OAPA + nominated technical contact</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Restore/reproduce the final template in the isolated environment when convenient and validate the hosted copy.</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R2</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Site/admin permissions for hosted configuration</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External dependency / Low</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Client-owned after handover</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OAPA admin</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Apply any site-level settings unavailable to Team 74's local/Teacher-level implementation.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R3</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H5P or site-level styling differences after hosted restore</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Known technical risk / Low</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Mitigated</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OAPA admin / future maintainer</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Validate H5P and styling after hosted restore; retain Moodle-native Quiz fallback if the hosted H5P context differs.</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R4</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Final document/repository link assembly</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Administrative / Low</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Closeout action</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Aryan + role owners</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Merge final role-owned handover content, commit PM closeout artefacts and add final links before course upload.</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D1</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Local Moodle template as guaranteed final artefact</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Decision</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Closed / confirmed</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Team 74 handover baseline</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Treat local release as the delivered product even if hosted transfer is not completed before submission.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D2</w:t>
            </w:r>
          </w:p>
        </w:tc>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5"/>
              </w:rPr>
              <w:t>Client-removed requirements</w:t>
            </w:r>
          </w:p>
        </w:tc>
        <w:tc>
          <w:tcPr>
            <w:tcW w:type="dxa" w:w="1100"/>
            <w:tcMar>
              <w:top w:w="70" w:type="dxa"/>
              <w:start w:w="70" w:type="dxa"/>
              <w:bottom w:w="70" w:type="dxa"/>
              <w:end w:w="70" w:type="dxa"/>
            </w:tcMar>
            <w:vAlign w:val="top"/>
          </w:tcPr>
          <w:p>
            <w:pPr>
              <w:spacing w:after="20" w:before="0" w:line="240" w:lineRule="auto"/>
            </w:pPr>
            <w:r>
              <w:rPr>
                <w:rFonts w:ascii="Carlito" w:hAnsi="Carlito"/>
                <w:b w:val="0"/>
                <w:color w:val="000000"/>
                <w:sz w:val="15"/>
              </w:rPr>
              <w:t>Scope decision</w:t>
            </w:r>
          </w:p>
        </w:tc>
        <w:tc>
          <w:tcPr>
            <w:tcW w:type="dxa" w:w="1450"/>
            <w:tcMar>
              <w:top w:w="70" w:type="dxa"/>
              <w:start w:w="70" w:type="dxa"/>
              <w:bottom w:w="70" w:type="dxa"/>
              <w:end w:w="70" w:type="dxa"/>
            </w:tcMar>
            <w:vAlign w:val="top"/>
          </w:tcPr>
          <w:p>
            <w:pPr>
              <w:spacing w:after="20" w:before="0" w:line="240" w:lineRule="auto"/>
            </w:pPr>
            <w:r>
              <w:rPr>
                <w:rFonts w:ascii="Carlito" w:hAnsi="Carlito"/>
                <w:b w:val="0"/>
                <w:color w:val="000000"/>
                <w:sz w:val="15"/>
              </w:rPr>
              <w:t>Closed / confirmed</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N/A</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Assess delivery against the final client-agreed baseline; do not report removed scope as unfinished.</w:t>
            </w:r>
          </w:p>
        </w:tc>
      </w:tr>
    </w:tbl>
    <w:p>
      <w:pPr>
        <w:spacing w:after="0"/>
      </w:pPr>
    </w:p>
    <w:p>
      <w:pPr>
        <w:pStyle w:val="Heading1"/>
        <w:keepNext/>
        <w:spacing w:before="240" w:after="100"/>
      </w:pPr>
      <w:r>
        <w:t>6. Final handover responsibilities and continuation ownership</w:t>
      </w:r>
    </w:p>
    <w:tbl>
      <w:tblPr>
        <w:tblStyle w:val="TableGrid"/>
        <w:tblW w:type="auto" w:w="0"/>
        <w:jc w:val="left"/>
        <w:tblLook w:firstColumn="1" w:firstRow="1" w:lastColumn="0" w:lastRow="0" w:noHBand="0" w:noVBand="1" w:val="04A0"/>
      </w:tblPr>
      <w:tblGrid>
        <w:gridCol w:w="4917"/>
        <w:gridCol w:w="4917"/>
      </w:tblGrid>
      <w:tr>
        <w:trPr>
          <w:tblHeader w:val="true"/>
        </w:trPr>
        <w:tc>
          <w:tcPr>
            <w:tcW w:type="dxa" w:w="175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Owner</w:t>
            </w:r>
          </w:p>
        </w:tc>
        <w:tc>
          <w:tcPr>
            <w:tcW w:type="dxa" w:w="500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Final handover responsibility</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Aryan Rajendra - Project Manager</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Maintain the single final governance position across Planner, CRM/project timeline, Master Document, Handover Document and presentation; share final client documents and close remaining administrative links.</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Riley Pittard - Business Analyst</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Ensure final requirements, user-story statuses, acceptance evidence and test traceability reflect the delivered client-agreed baseline.</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Walaa Ghanduri - UX Designer</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Ensure final personas, design principles, shipped screens and accessibility/UX evidence reflect the final implementation.</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Reshan Lahandapura - Developer 1</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Document final architecture, Moodle framework, reproduction, restore/deployment path and reusable-template configuration.</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Shaikh Zarin Tasnim - Developer 2</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Document H5P/Quiz, Participants, responsive/technical hardening, hosted validation considerations and remaining technical debt.</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OAPA after handover</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Retain the release package and documentation, reproduce on the hosted Academy environment if desired, apply required site/admin settings and use the template for future courses where appropriate.</w:t>
            </w:r>
          </w:p>
        </w:tc>
      </w:tr>
    </w:tbl>
    <w:p>
      <w:pPr>
        <w:spacing w:after="0"/>
      </w:pPr>
    </w:p>
    <w:p>
      <w:pPr>
        <w:pStyle w:val="Heading1"/>
        <w:keepNext/>
        <w:spacing w:before="240" w:after="100"/>
      </w:pPr>
      <w:r>
        <w:t>7. Evidence and communication sources</w:t>
      </w:r>
    </w:p>
    <w:tbl>
      <w:tblPr>
        <w:tblStyle w:val="TableGrid"/>
        <w:tblW w:type="auto" w:w="0"/>
        <w:jc w:val="left"/>
        <w:tblLook w:firstColumn="1" w:firstRow="1" w:lastColumn="0" w:lastRow="0" w:noHBand="0" w:noVBand="1" w:val="04A0"/>
      </w:tblPr>
      <w:tblGrid>
        <w:gridCol w:w="4917"/>
        <w:gridCol w:w="4917"/>
      </w:tblGrid>
      <w:tr>
        <w:trPr>
          <w:tblHeader w:val="true"/>
        </w:trPr>
        <w:tc>
          <w:tcPr>
            <w:tcW w:type="dxa" w:w="270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Evidence source</w:t>
            </w:r>
          </w:p>
        </w:tc>
        <w:tc>
          <w:tcPr>
            <w:tcW w:type="dxa" w:w="390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Purpose</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Final OAPA client closeout meeting transcript - 27 October 2026</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Primary final client acceptance/handover evidence, including positive template feedback, hosted-transfer position and confirmation that final documents are the remaining handover action.</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Sprint 3 Week 2 implementation and hardening artefacts</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Evidence that final course behaviour, Participants, responsive/technical quality, branding/navigation and acceptance corrections were completed before closeout.</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Team 74 Master Document</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Project-wide task/evidence record and final Sprint 3 Week 3 task handoff.</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Team 74 Handover Document</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Formal continuity package covering scope, architecture, UX, reproduction, access, known issues and next steps.</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CRM / Project Timeline and Planner</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Governance chronology, role attribution, sprint status, planned hours and Week 3 closeout tracking.</w:t>
            </w:r>
          </w:p>
        </w:tc>
      </w:tr>
      <w:tr>
        <w:tc>
          <w:tcPr>
            <w:tcW w:type="dxa" w:w="2700"/>
            <w:tcMar>
              <w:top w:w="70" w:type="dxa"/>
              <w:start w:w="70" w:type="dxa"/>
              <w:bottom w:w="70" w:type="dxa"/>
              <w:end w:w="70" w:type="dxa"/>
            </w:tcMar>
            <w:vAlign w:val="top"/>
          </w:tcPr>
          <w:p>
            <w:pPr>
              <w:spacing w:after="20" w:before="0" w:line="240" w:lineRule="auto"/>
            </w:pPr>
            <w:r>
              <w:rPr>
                <w:rFonts w:ascii="Carlito" w:hAnsi="Carlito"/>
                <w:b w:val="0"/>
                <w:color w:val="000000"/>
                <w:sz w:val="17"/>
              </w:rPr>
              <w:t>Final team presentation / live demo materials</w:t>
            </w:r>
          </w:p>
        </w:tc>
        <w:tc>
          <w:tcPr>
            <w:tcW w:type="dxa" w:w="3900"/>
            <w:tcMar>
              <w:top w:w="70" w:type="dxa"/>
              <w:start w:w="70" w:type="dxa"/>
              <w:bottom w:w="70" w:type="dxa"/>
              <w:end w:w="70" w:type="dxa"/>
            </w:tcMar>
            <w:vAlign w:val="top"/>
          </w:tcPr>
          <w:p>
            <w:pPr>
              <w:spacing w:after="20" w:before="0" w:line="240" w:lineRule="auto"/>
            </w:pPr>
            <w:r>
              <w:rPr>
                <w:rFonts w:ascii="Carlito" w:hAnsi="Carlito"/>
                <w:b w:val="0"/>
                <w:color w:val="000000"/>
                <w:sz w:val="17"/>
              </w:rPr>
              <w:t>Final client/problem framing, architecture, delivered outcomes, impact, limitations, team process and end-to-end product demonstration.</w:t>
            </w:r>
          </w:p>
        </w:tc>
      </w:tr>
    </w:tbl>
    <w:p>
      <w:pPr>
        <w:spacing w:after="0"/>
      </w:pPr>
    </w:p>
    <w:p>
      <w:pPr>
        <w:pStyle w:val="Heading1"/>
        <w:keepNext/>
        <w:spacing w:before="240" w:after="100"/>
      </w:pPr>
      <w:r>
        <w:t>8. Task 81 acceptance mapping</w:t>
      </w:r>
    </w:p>
    <w:tbl>
      <w:tblPr>
        <w:tblStyle w:val="TableGrid"/>
        <w:tblW w:type="auto" w:w="0"/>
        <w:jc w:val="left"/>
        <w:tblLook w:firstColumn="1" w:firstRow="1" w:lastColumn="0" w:lastRow="0" w:noHBand="0" w:noVBand="1" w:val="04A0"/>
      </w:tblPr>
      <w:tblGrid>
        <w:gridCol w:w="3278"/>
        <w:gridCol w:w="3278"/>
        <w:gridCol w:w="3278"/>
      </w:tblGrid>
      <w:tr>
        <w:trPr>
          <w:tblHeader w:val="true"/>
        </w:trPr>
        <w:tc>
          <w:tcPr>
            <w:tcW w:type="dxa" w:w="28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Task 81 acceptance item</w:t>
            </w:r>
          </w:p>
        </w:tc>
        <w:tc>
          <w:tcPr>
            <w:tcW w:type="dxa" w:w="33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Evidence in this record</w:t>
            </w:r>
          </w:p>
        </w:tc>
        <w:tc>
          <w:tcPr>
            <w:tcW w:type="dxa" w:w="6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Status</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delivered scope reconciled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1-2 distinguish the final client-agreed delivered baseline from removed or future scope.</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stakeholder/client position recorded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3-4 document the 27 October client closeout and final handover position.</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risks and dependencies closed or reassigned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5 records residual external/administrative items with final owners and treatment.</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Local versus hosted environment position made explicit</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1, 3 and 5 define the local release as delivered and hosted transfer as continuation.</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Team 74 work separated from future OAPA action</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2, 5 and 6 clearly separate delivered work from client/admin continuation.</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Handover responsibilities documented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6 assigns final continuity ownership across team roles and OAPA.</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Evidence sources identified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7 records the evidence set supporting closeout.</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bl>
    <w:p>
      <w:pPr>
        <w:spacing w:after="0"/>
      </w:pPr>
    </w:p>
    <w:p>
      <w:pPr>
        <w:pStyle w:val="Heading1"/>
        <w:keepNext/>
        <w:spacing w:before="240" w:after="100"/>
      </w:pPr>
      <w:r>
        <w:t>9. PM completion statement</w:t>
      </w:r>
    </w:p>
    <w:p>
      <w:pPr>
        <w:spacing w:after="120" w:line="252" w:lineRule="auto"/>
      </w:pPr>
      <w:r>
        <w:rPr>
          <w:rFonts w:ascii="Carlito" w:hAnsi="Carlito"/>
          <w:i w:val="0"/>
          <w:sz w:val="21"/>
        </w:rPr>
        <w:t>Task 81 is complete. Team 74's final project-governance and handover position has been reconciled against the delivered Moodle implementation and the 27 October 2026 OAPA client closeout. The project is closed against the final client-agreed acceptance baseline: development and testing are complete, the local Moodle template and handover package are the guaranteed delivered artefacts, no unresolved issue remains an active Team 74 delivery blocker, and any later hosted transfer or environment-specific validation is recorded as an OAPA/admin continuation action.</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E6E6E"/>
        <w:sz w:val="16"/>
      </w:rPr>
      <w:t>Team 74 | OAPA Academy Moodle | Sprint 3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after="100"/>
    </w:pPr>
    <w:rPr>
      <w:rFonts w:ascii="Carlito" w:hAnsi="Carlito"/>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