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rlito" w:hAnsi="Carlito"/>
          <w:color w:val="000000"/>
          <w:sz w:val="40"/>
        </w:rPr>
        <w:t>Sprint 3 Week 3 Final Handover &amp; Submission Readiness Record</w:t>
      </w:r>
    </w:p>
    <w:p>
      <w:pPr>
        <w:spacing w:after="200"/>
      </w:pPr>
      <w:r>
        <w:rPr>
          <w:rFonts w:ascii="Carlito" w:hAnsi="Carlito"/>
          <w:color w:val="5A5A5A"/>
          <w:sz w:val="24"/>
        </w:rPr>
        <w:t>Task 82 - Integrate the final handover, Planner, CRM, Master Document and project evidence and confirm submission readiness</w:t>
      </w:r>
    </w:p>
    <w:tbl>
      <w:tblPr>
        <w:tblStyle w:val="TableGrid"/>
        <w:tblW w:type="auto" w:w="0"/>
        <w:jc w:val="left"/>
        <w:tblLook w:firstColumn="1" w:firstRow="1" w:lastColumn="0" w:lastRow="0" w:noHBand="0" w:noVBand="1" w:val="04A0"/>
      </w:tblPr>
      <w:tblGrid>
        <w:gridCol w:w="2459"/>
        <w:gridCol w:w="2459"/>
        <w:gridCol w:w="2459"/>
        <w:gridCol w:w="2459"/>
      </w:tblGrid>
      <w:tr>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Project</w:t>
            </w:r>
          </w:p>
        </w:tc>
        <w:tc>
          <w:tcPr>
            <w:tcW w:type="dxa" w:w="3100"/>
            <w:tcMar>
              <w:top w:w="70" w:type="dxa"/>
              <w:start w:w="70" w:type="dxa"/>
              <w:bottom w:w="70" w:type="dxa"/>
              <w:end w:w="70" w:type="dxa"/>
            </w:tcMar>
            <w:vAlign w:val="center"/>
          </w:tcPr>
          <w:p>
            <w:pPr>
              <w:spacing w:after="20" w:before="0" w:line="240" w:lineRule="auto"/>
            </w:pPr>
            <w:r>
              <w:rPr>
                <w:rFonts w:ascii="Carlito" w:hAnsi="Carlito"/>
                <w:b w:val="0"/>
                <w:color w:val="000000"/>
                <w:sz w:val="18"/>
              </w:rPr>
              <w:t>P000785CSITCP / Group 74 - Team A</w:t>
            </w:r>
          </w:p>
        </w:tc>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Owner</w:t>
            </w:r>
          </w:p>
        </w:tc>
        <w:tc>
          <w:tcPr>
            <w:tcW w:type="dxa" w:w="2200"/>
            <w:tcMar>
              <w:top w:w="70" w:type="dxa"/>
              <w:start w:w="70" w:type="dxa"/>
              <w:bottom w:w="70" w:type="dxa"/>
              <w:end w:w="70" w:type="dxa"/>
            </w:tcMar>
            <w:vAlign w:val="center"/>
          </w:tcPr>
          <w:p>
            <w:pPr>
              <w:spacing w:after="20" w:before="0" w:line="240" w:lineRule="auto"/>
            </w:pPr>
            <w:r>
              <w:rPr>
                <w:rFonts w:ascii="Carlito" w:hAnsi="Carlito"/>
                <w:b w:val="0"/>
                <w:color w:val="000000"/>
                <w:sz w:val="18"/>
              </w:rPr>
              <w:t>Aryan Rajendra - Project Manager</w:t>
            </w:r>
          </w:p>
        </w:tc>
      </w:tr>
      <w:tr>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Status</w:t>
            </w:r>
          </w:p>
        </w:tc>
        <w:tc>
          <w:tcPr>
            <w:tcW w:type="dxa" w:w="3100"/>
            <w:tcMar>
              <w:top w:w="70" w:type="dxa"/>
              <w:start w:w="70" w:type="dxa"/>
              <w:bottom w:w="70" w:type="dxa"/>
              <w:end w:w="70" w:type="dxa"/>
            </w:tcMar>
            <w:vAlign w:val="center"/>
          </w:tcPr>
          <w:p>
            <w:pPr>
              <w:spacing w:after="20" w:before="0" w:line="240" w:lineRule="auto"/>
            </w:pPr>
            <w:r>
              <w:rPr>
                <w:rFonts w:ascii="Carlito" w:hAnsi="Carlito"/>
                <w:b w:val="0"/>
                <w:color w:val="000000"/>
                <w:sz w:val="18"/>
              </w:rPr>
              <w:t>Final / Task 82 completion evidence</w:t>
            </w:r>
          </w:p>
        </w:tc>
        <w:tc>
          <w:tcPr>
            <w:tcW w:type="dxa" w:w="900"/>
            <w:tcMar>
              <w:top w:w="70" w:type="dxa"/>
              <w:start w:w="70" w:type="dxa"/>
              <w:bottom w:w="70" w:type="dxa"/>
              <w:end w:w="70" w:type="dxa"/>
            </w:tcMar>
            <w:vAlign w:val="center"/>
          </w:tcPr>
          <w:p>
            <w:pPr>
              <w:spacing w:after="0" w:before="0" w:line="240" w:lineRule="auto"/>
            </w:pPr>
            <w:r>
              <w:rPr>
                <w:rFonts w:ascii="Carlito" w:hAnsi="Carlito"/>
                <w:b/>
                <w:color w:val="000000"/>
                <w:sz w:val="18"/>
              </w:rPr>
              <w:t>Complete as of</w:t>
            </w:r>
          </w:p>
        </w:tc>
        <w:tc>
          <w:tcPr>
            <w:tcW w:type="dxa" w:w="2200"/>
            <w:tcMar>
              <w:top w:w="70" w:type="dxa"/>
              <w:start w:w="70" w:type="dxa"/>
              <w:bottom w:w="70" w:type="dxa"/>
              <w:end w:w="70" w:type="dxa"/>
            </w:tcMar>
            <w:vAlign w:val="center"/>
          </w:tcPr>
          <w:p>
            <w:pPr>
              <w:spacing w:after="20" w:before="0" w:line="240" w:lineRule="auto"/>
            </w:pPr>
            <w:r>
              <w:rPr>
                <w:rFonts w:ascii="Carlito" w:hAnsi="Carlito"/>
                <w:b w:val="0"/>
                <w:color w:val="000000"/>
                <w:sz w:val="18"/>
              </w:rPr>
              <w:t>27 October 2026</w:t>
            </w:r>
          </w:p>
        </w:tc>
      </w:tr>
    </w:tbl>
    <w:p>
      <w:pPr>
        <w:spacing w:after="0"/>
      </w:pPr>
    </w:p>
    <w:p>
      <w:pPr>
        <w:pStyle w:val="Heading1"/>
        <w:keepNext/>
        <w:spacing w:before="240" w:after="100"/>
      </w:pPr>
      <w:r>
        <w:t>1. Purpose and readiness context</w:t>
      </w:r>
    </w:p>
    <w:p>
      <w:pPr>
        <w:spacing w:after="120" w:line="252" w:lineRule="auto"/>
      </w:pPr>
      <w:r>
        <w:rPr>
          <w:rFonts w:ascii="Carlito" w:hAnsi="Carlito"/>
          <w:i w:val="0"/>
          <w:sz w:val="21"/>
        </w:rPr>
        <w:t>This record is the PM's final project-wide integration and submission-readiness closeout. It confirms that the Handover Document, Planner, CRM/project timeline, Master Document, repository evidence, presentation and Moodle release position have been reconciled and describe the same delivered system and final handover state.</w:t>
      </w:r>
    </w:p>
    <w:p>
      <w:pPr>
        <w:spacing w:after="120" w:line="252" w:lineRule="auto"/>
      </w:pPr>
      <w:r>
        <w:rPr>
          <w:rFonts w:ascii="Carlito" w:hAnsi="Carlito"/>
          <w:i w:val="0"/>
          <w:sz w:val="21"/>
        </w:rPr>
        <w:t>The final review is grounded in the completed Sprint 3 implementation/testing position and the OAPA client closeout on 27 October 2026. Michael Cowling confirmed that the template looked good and that the handover position was complete. The final documentation and release package have been reconciled into the submission baseline. Hosted transfer remains an optional continuation, while the completed local Moodle template is the guaranteed delivered artefact and is not contingent on server transfer.</w:t>
      </w:r>
    </w:p>
    <w:tbl>
      <w:tblPr>
        <w:tblStyle w:val="TableGrid"/>
        <w:tblW w:type="auto" w:w="0"/>
        <w:jc w:val="left"/>
        <w:tblLook w:firstColumn="1" w:firstRow="1" w:lastColumn="0" w:lastRow="0" w:noHBand="0" w:noVBand="1" w:val="04A0"/>
      </w:tblPr>
      <w:tblGrid>
        <w:gridCol w:w="9835"/>
      </w:tblGrid>
      <w:tr>
        <w:tc>
          <w:tcPr>
            <w:tcW w:type="dxa" w:w="9835"/>
            <w:shd w:fill="F5F5F5"/>
            <w:tcMar>
              <w:top w:w="90" w:type="dxa"/>
              <w:start w:w="80" w:type="dxa"/>
              <w:bottom w:w="90" w:type="dxa"/>
              <w:end w:w="80" w:type="dxa"/>
            </w:tcMar>
          </w:tcPr>
          <w:p>
            <w:pPr>
              <w:spacing w:after="0"/>
            </w:pPr>
            <w:r>
              <w:rPr>
                <w:rFonts w:ascii="Carlito" w:hAnsi="Carlito"/>
                <w:i/>
                <w:sz w:val="19"/>
              </w:rPr>
              <w:t>Final readiness position: implementation, testing, documentation reconciliation, evidence consolidation and submission packaging are complete. No remaining Team 74 action reopens the delivered product scope or prevents submission and handover.</w:t>
            </w:r>
          </w:p>
        </w:tc>
      </w:tr>
    </w:tbl>
    <w:p>
      <w:pPr>
        <w:spacing w:after="0"/>
      </w:pPr>
    </w:p>
    <w:p>
      <w:pPr>
        <w:pStyle w:val="Heading1"/>
        <w:keepNext/>
        <w:spacing w:before="240" w:after="100"/>
      </w:pPr>
      <w:r>
        <w:t>2. Final artefact and evidence reconciliation</w:t>
      </w:r>
    </w:p>
    <w:tbl>
      <w:tblPr>
        <w:tblStyle w:val="TableGrid"/>
        <w:tblW w:type="auto" w:w="0"/>
        <w:jc w:val="left"/>
        <w:tblLook w:firstColumn="1" w:firstRow="1" w:lastColumn="0" w:lastRow="0" w:noHBand="0" w:noVBand="1" w:val="04A0"/>
      </w:tblPr>
      <w:tblGrid>
        <w:gridCol w:w="2459"/>
        <w:gridCol w:w="2459"/>
        <w:gridCol w:w="2459"/>
        <w:gridCol w:w="2459"/>
      </w:tblGrid>
      <w:tr>
        <w:trPr>
          <w:tblHeader w:val="true"/>
        </w:trPr>
        <w:tc>
          <w:tcPr>
            <w:tcW w:type="dxa" w:w="15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Artefact / source</w:t>
            </w:r>
          </w:p>
        </w:tc>
        <w:tc>
          <w:tcPr>
            <w:tcW w:type="dxa" w:w="12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Readiness status</w:t>
            </w:r>
          </w:p>
        </w:tc>
        <w:tc>
          <w:tcPr>
            <w:tcW w:type="dxa" w:w="30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Reconciled final position</w:t>
            </w:r>
          </w:p>
        </w:tc>
        <w:tc>
          <w:tcPr>
            <w:tcW w:type="dxa" w:w="19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Final PM action</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Handover Document</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The final handover content has been reconciled across PM, BA, UX and Developer-owned sections and aligned to the delivered system.</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final role-owned content has been consolidated into the submission baseline and checked for consistency.</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Planner - Sprint 3 Week 3</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Tasks 81-90 record the completed final governance, requirements/testing, UX continuity, release/reproduction and handover work.</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final completion notes and evidence references are reconciled against the finished Week 3 work.</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CRM / Project Timeline</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 through final closeout</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Week 3 records the completed team coordination, supervisor attendance context, client-meeting rescheduling and the 27 October final client closeout.</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the final client closeout outcome is reflected and the chronology ends on the final handover state.</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Master Document</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 through Sprint 3 Week 3 structure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Tasks 81-90 are present in the established master-document format with the final Week 3 closeout structure and evidence position.</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the Week 3 master-document entries have been reconciled to the final task and evidence position.</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Repository / evidence folders</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Sprint 1-3 implementation, test, UX and governance evidence forms the complete traceable source base.</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Task 81 and Task 82 form part of the final Sprint 3 Week 3 PM evidence set.</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Moodle release package</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 / Delivered</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local Moodle template is the guaranteed client artefact; hosted reproduction is optional continuation.</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the final local release baseline and reproduction guidance are represented in the handover package.</w:t>
            </w:r>
          </w:p>
        </w:tc>
      </w:tr>
      <w:tr>
        <w:tc>
          <w:tcPr>
            <w:tcW w:type="dxa" w:w="1500"/>
            <w:tcMar>
              <w:top w:w="70" w:type="dxa"/>
              <w:start w:w="70" w:type="dxa"/>
              <w:bottom w:w="70" w:type="dxa"/>
              <w:end w:w="70" w:type="dxa"/>
            </w:tcMar>
            <w:vAlign w:val="top"/>
          </w:tcPr>
          <w:p>
            <w:pPr>
              <w:spacing w:after="20" w:before="0" w:line="240" w:lineRule="auto"/>
            </w:pPr>
            <w:r>
              <w:rPr>
                <w:rFonts w:ascii="Carlito" w:hAnsi="Carlito"/>
                <w:b w:val="0"/>
                <w:color w:val="000000"/>
                <w:sz w:val="16"/>
              </w:rPr>
              <w:t>Final presentation / demo</w:t>
            </w:r>
          </w:p>
        </w:tc>
        <w:tc>
          <w:tcPr>
            <w:tcW w:type="dxa" w:w="1250"/>
            <w:tcMar>
              <w:top w:w="70" w:type="dxa"/>
              <w:start w:w="70" w:type="dxa"/>
              <w:bottom w:w="70" w:type="dxa"/>
              <w:end w:w="70" w:type="dxa"/>
            </w:tcMar>
            <w:vAlign w:val="top"/>
          </w:tcPr>
          <w:p>
            <w:pPr>
              <w:spacing w:after="20" w:before="0" w:line="240" w:lineRule="auto"/>
            </w:pPr>
            <w:r>
              <w:rPr>
                <w:rFonts w:ascii="Carlito" w:hAnsi="Carlito"/>
                <w:b w:val="0"/>
                <w:color w:val="000000"/>
                <w:sz w:val="16"/>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6"/>
              </w:rPr>
              <w:t>Role-owned slides, live demo journey and personal reflections collectively cover the final rubric areas.</w:t>
            </w:r>
          </w:p>
        </w:tc>
        <w:tc>
          <w:tcPr>
            <w:tcW w:type="dxa" w:w="1900"/>
            <w:tcMar>
              <w:top w:w="70" w:type="dxa"/>
              <w:start w:w="70" w:type="dxa"/>
              <w:bottom w:w="70" w:type="dxa"/>
              <w:end w:w="70" w:type="dxa"/>
            </w:tcMar>
            <w:vAlign w:val="top"/>
          </w:tcPr>
          <w:p>
            <w:pPr>
              <w:spacing w:after="20" w:before="0" w:line="240" w:lineRule="auto"/>
            </w:pPr>
            <w:r>
              <w:rPr>
                <w:rFonts w:ascii="Carlito" w:hAnsi="Carlito"/>
                <w:b w:val="0"/>
                <w:color w:val="000000"/>
                <w:sz w:val="16"/>
              </w:rPr>
              <w:t>Completed: the final presentation and demo path are aligned to the delivered system and end-to-end learner/facilitator journey.</w:t>
            </w:r>
          </w:p>
        </w:tc>
      </w:tr>
    </w:tbl>
    <w:p>
      <w:pPr>
        <w:spacing w:after="0"/>
      </w:pPr>
    </w:p>
    <w:p>
      <w:pPr>
        <w:pStyle w:val="Heading1"/>
        <w:keepNext/>
        <w:spacing w:before="240" w:after="100"/>
      </w:pPr>
      <w:r>
        <w:t>3. Cross-artifact consistency checks</w:t>
      </w:r>
    </w:p>
    <w:tbl>
      <w:tblPr>
        <w:tblStyle w:val="TableGrid"/>
        <w:tblW w:type="auto" w:w="0"/>
        <w:jc w:val="left"/>
        <w:tblLook w:firstColumn="1" w:firstRow="1" w:lastColumn="0" w:lastRow="0" w:noHBand="0" w:noVBand="1" w:val="04A0"/>
      </w:tblPr>
      <w:tblGrid>
        <w:gridCol w:w="3278"/>
        <w:gridCol w:w="3278"/>
        <w:gridCol w:w="3278"/>
      </w:tblGrid>
      <w:tr>
        <w:trPr>
          <w:tblHeader w:val="true"/>
        </w:trPr>
        <w:tc>
          <w:tcPr>
            <w:tcW w:type="dxa" w:w="18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Consistency area</w:t>
            </w:r>
          </w:p>
        </w:tc>
        <w:tc>
          <w:tcPr>
            <w:tcW w:type="dxa" w:w="43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Required final wording / state</w:t>
            </w:r>
          </w:p>
        </w:tc>
        <w:tc>
          <w:tcPr>
            <w:tcW w:type="dxa" w:w="8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Review result</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Scope baseline</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Assess against the final client-agreed acceptance baseline after stakeholder refinement; do not label client-removed scope as unfinished.</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Implementation status</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Development and testing are complete. The final system is a reusable Moodle Academy course framework, not a rebuilt LMS.</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Release baseline</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The completed local Moodle template is the guaranteed delivered artefact.</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Hosted environment</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Hosted transfer/reproduction is a future continuation if feasible, not a delivery blocker or missing capstone feature.</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Workshop attendance</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Attendance is verified/facilitator-controlled rather than learner self-declared.</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Assessment eligibility</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Any two verified workshops unlock assessment eligibility; one verified workshop remains insufficient.</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Assessment workflow</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Final workflow reflects soft feedback/revision, direct-final route, pass/fail and facilitator discretion for exceptional late cases.</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H5P / fallback</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H5P Question Set is supported; Moodle-native Quiz fallback remains part of the resilient final solution.</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Team process / hours</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Planned effort remains 36 hours per member / 180 team-hours across the three sprints and should reconcile with Planner/CRM records.</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r>
        <w:tc>
          <w:tcPr>
            <w:tcW w:type="dxa" w:w="1850"/>
            <w:tcMar>
              <w:top w:w="70" w:type="dxa"/>
              <w:start w:w="70" w:type="dxa"/>
              <w:bottom w:w="70" w:type="dxa"/>
              <w:end w:w="70" w:type="dxa"/>
            </w:tcMar>
            <w:vAlign w:val="top"/>
          </w:tcPr>
          <w:p>
            <w:pPr>
              <w:spacing w:after="20" w:before="0" w:line="240" w:lineRule="auto"/>
            </w:pPr>
            <w:r>
              <w:rPr>
                <w:rFonts w:ascii="Carlito" w:hAnsi="Carlito"/>
                <w:b w:val="0"/>
                <w:color w:val="000000"/>
                <w:sz w:val="16"/>
              </w:rPr>
              <w:t>Final client closeout</w:t>
            </w:r>
          </w:p>
        </w:tc>
        <w:tc>
          <w:tcPr>
            <w:tcW w:type="dxa" w:w="4300"/>
            <w:tcMar>
              <w:top w:w="70" w:type="dxa"/>
              <w:start w:w="70" w:type="dxa"/>
              <w:bottom w:w="70" w:type="dxa"/>
              <w:end w:w="70" w:type="dxa"/>
            </w:tcMar>
            <w:vAlign w:val="top"/>
          </w:tcPr>
          <w:p>
            <w:pPr>
              <w:spacing w:after="20" w:before="0" w:line="240" w:lineRule="auto"/>
            </w:pPr>
            <w:r>
              <w:rPr>
                <w:rFonts w:ascii="Carlito" w:hAnsi="Carlito"/>
                <w:b w:val="0"/>
                <w:color w:val="000000"/>
                <w:sz w:val="16"/>
              </w:rPr>
              <w:t>Client feedback on 27 October was positive; handover was considered complete apart from final document sharing.</w:t>
            </w:r>
          </w:p>
        </w:tc>
        <w:tc>
          <w:tcPr>
            <w:tcW w:type="dxa" w:w="850"/>
            <w:tcMar>
              <w:top w:w="70" w:type="dxa"/>
              <w:start w:w="70" w:type="dxa"/>
              <w:bottom w:w="70" w:type="dxa"/>
              <w:end w:w="70" w:type="dxa"/>
            </w:tcMar>
            <w:vAlign w:val="top"/>
          </w:tcPr>
          <w:p>
            <w:pPr>
              <w:spacing w:after="20" w:before="0" w:line="240" w:lineRule="auto"/>
            </w:pPr>
            <w:r>
              <w:rPr>
                <w:rFonts w:ascii="Carlito" w:hAnsi="Carlito"/>
                <w:b w:val="0"/>
                <w:color w:val="000000"/>
                <w:sz w:val="16"/>
              </w:rPr>
              <w:t>Aligned</w:t>
            </w:r>
          </w:p>
        </w:tc>
      </w:tr>
    </w:tbl>
    <w:p>
      <w:pPr>
        <w:spacing w:after="0"/>
      </w:pPr>
    </w:p>
    <w:p>
      <w:pPr>
        <w:pStyle w:val="Heading1"/>
        <w:keepNext/>
        <w:spacing w:before="240" w:after="100"/>
      </w:pPr>
      <w:r>
        <w:t>4. Final submission and handover checklist</w:t>
      </w:r>
    </w:p>
    <w:tbl>
      <w:tblPr>
        <w:tblStyle w:val="TableGrid"/>
        <w:tblW w:type="auto" w:w="0"/>
        <w:jc w:val="left"/>
        <w:tblLook w:firstColumn="1" w:firstRow="1" w:lastColumn="0" w:lastRow="0" w:noHBand="0" w:noVBand="1" w:val="04A0"/>
      </w:tblPr>
      <w:tblGrid>
        <w:gridCol w:w="1967"/>
        <w:gridCol w:w="1967"/>
        <w:gridCol w:w="1967"/>
        <w:gridCol w:w="1967"/>
        <w:gridCol w:w="1967"/>
      </w:tblGrid>
      <w:tr>
        <w:trPr>
          <w:tblHeader w:val="true"/>
        </w:trPr>
        <w:tc>
          <w:tcPr>
            <w:tcW w:type="dxa" w:w="35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ID</w:t>
            </w:r>
          </w:p>
        </w:tc>
        <w:tc>
          <w:tcPr>
            <w:tcW w:type="dxa" w:w="17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Submission / handover item</w:t>
            </w:r>
          </w:p>
        </w:tc>
        <w:tc>
          <w:tcPr>
            <w:tcW w:type="dxa" w:w="12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Status</w:t>
            </w:r>
          </w:p>
        </w:tc>
        <w:tc>
          <w:tcPr>
            <w:tcW w:type="dxa" w:w="30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Evidence / readiness note</w:t>
            </w:r>
          </w:p>
        </w:tc>
        <w:tc>
          <w:tcPr>
            <w:tcW w:type="dxa" w:w="900"/>
            <w:shd w:fill="EDEDED"/>
            <w:tcMar>
              <w:top w:w="70" w:type="dxa"/>
              <w:start w:w="70" w:type="dxa"/>
              <w:bottom w:w="70" w:type="dxa"/>
              <w:end w:w="70" w:type="dxa"/>
            </w:tcMar>
            <w:vAlign w:val="center"/>
          </w:tcPr>
          <w:p>
            <w:pPr>
              <w:spacing w:after="0" w:before="0" w:line="240" w:lineRule="auto"/>
            </w:pPr>
            <w:r>
              <w:rPr>
                <w:rFonts w:ascii="Carlito" w:hAnsi="Carlito"/>
                <w:b/>
                <w:color w:val="000000"/>
                <w:sz w:val="15"/>
              </w:rPr>
              <w:t>Owner</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S1</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Final Moodle release/template package retained</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Local release is the guaranteed final client artefact and is supported by reproduction guidance.</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Developers</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S2</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Final Handover Document merged</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The final handover content is consolidated and aligned across PM, BA, UX and Developer contributions.</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Team 74</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S3</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Sprint 3 Week 3 Planner completion notes</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Final Week 3 completion wording and evidence references are reconciled to the completed tasks.</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Aryan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S4</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Master Document Week 3 completion evidence</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Week 3 Tasks 81-90 are recorded in the established format and aligned to the final role evidence position.</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All role owners</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S5</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CRM / Project Timeline closeout</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The final client meeting and handover outcome are recorded as the terminal project event.</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Aryan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S6</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Repository Week 3 PM artefacts</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 to commit</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Task 81 and Task 82 final records are complete and form the Week 3 PM closeout evidence set.</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Aryan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S7</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Final presentation and live demo</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Final presentation responsibilities and the live end-to-end demo path are complete and aligned to the delivered system.</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Team 74</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S8</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Final OAPA document sharing</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The final client-facing handover and release material is consolidated as the completed closeout package.</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Aryan</w:t>
            </w:r>
          </w:p>
        </w:tc>
      </w:tr>
      <w:tr>
        <w:tc>
          <w:tcPr>
            <w:tcW w:type="dxa" w:w="350"/>
            <w:tcMar>
              <w:top w:w="70" w:type="dxa"/>
              <w:start w:w="70" w:type="dxa"/>
              <w:bottom w:w="70" w:type="dxa"/>
              <w:end w:w="70" w:type="dxa"/>
            </w:tcMar>
            <w:vAlign w:val="top"/>
          </w:tcPr>
          <w:p>
            <w:pPr>
              <w:spacing w:after="20" w:before="0" w:line="240" w:lineRule="auto"/>
            </w:pPr>
            <w:r>
              <w:rPr>
                <w:rFonts w:ascii="Carlito" w:hAnsi="Carlito"/>
                <w:b w:val="0"/>
                <w:color w:val="000000"/>
                <w:sz w:val="15"/>
              </w:rPr>
              <w:t>S9</w:t>
            </w:r>
          </w:p>
        </w:tc>
        <w:tc>
          <w:tcPr>
            <w:tcW w:type="dxa" w:w="1700"/>
            <w:tcMar>
              <w:top w:w="70" w:type="dxa"/>
              <w:start w:w="70" w:type="dxa"/>
              <w:bottom w:w="70" w:type="dxa"/>
              <w:end w:w="70" w:type="dxa"/>
            </w:tcMar>
            <w:vAlign w:val="top"/>
          </w:tcPr>
          <w:p>
            <w:pPr>
              <w:spacing w:after="20" w:before="0" w:line="240" w:lineRule="auto"/>
            </w:pPr>
            <w:r>
              <w:rPr>
                <w:rFonts w:ascii="Carlito" w:hAnsi="Carlito"/>
                <w:b w:val="0"/>
                <w:color w:val="000000"/>
                <w:sz w:val="15"/>
              </w:rPr>
              <w:t>Hosted Academy transfer</w:t>
            </w:r>
          </w:p>
        </w:tc>
        <w:tc>
          <w:tcPr>
            <w:tcW w:type="dxa" w:w="1200"/>
            <w:tcMar>
              <w:top w:w="70" w:type="dxa"/>
              <w:start w:w="70" w:type="dxa"/>
              <w:bottom w:w="70" w:type="dxa"/>
              <w:end w:w="70" w:type="dxa"/>
            </w:tcMar>
            <w:vAlign w:val="top"/>
          </w:tcPr>
          <w:p>
            <w:pPr>
              <w:spacing w:after="20" w:before="0" w:line="240" w:lineRule="auto"/>
            </w:pPr>
            <w:r>
              <w:rPr>
                <w:rFonts w:ascii="Carlito" w:hAnsi="Carlito"/>
                <w:b w:val="0"/>
                <w:color w:val="000000"/>
                <w:sz w:val="15"/>
              </w:rPr>
              <w:t>Complete / Outside submission scope</w:t>
            </w:r>
          </w:p>
        </w:tc>
        <w:tc>
          <w:tcPr>
            <w:tcW w:type="dxa" w:w="3000"/>
            <w:tcMar>
              <w:top w:w="70" w:type="dxa"/>
              <w:start w:w="70" w:type="dxa"/>
              <w:bottom w:w="70" w:type="dxa"/>
              <w:end w:w="70" w:type="dxa"/>
            </w:tcMar>
            <w:vAlign w:val="top"/>
          </w:tcPr>
          <w:p>
            <w:pPr>
              <w:spacing w:after="20" w:before="0" w:line="240" w:lineRule="auto"/>
            </w:pPr>
            <w:r>
              <w:rPr>
                <w:rFonts w:ascii="Carlito" w:hAnsi="Carlito"/>
                <w:b w:val="0"/>
                <w:color w:val="000000"/>
                <w:sz w:val="15"/>
              </w:rPr>
              <w:t>Hosted transfer is not required for Team 74 submission completion; it remains an optional OAPA continuation after receipt of the delivered artefact and documentation.</w:t>
            </w:r>
          </w:p>
        </w:tc>
        <w:tc>
          <w:tcPr>
            <w:tcW w:type="dxa" w:w="900"/>
            <w:tcMar>
              <w:top w:w="70" w:type="dxa"/>
              <w:start w:w="70" w:type="dxa"/>
              <w:bottom w:w="70" w:type="dxa"/>
              <w:end w:w="70" w:type="dxa"/>
            </w:tcMar>
            <w:vAlign w:val="top"/>
          </w:tcPr>
          <w:p>
            <w:pPr>
              <w:spacing w:after="20" w:before="0" w:line="240" w:lineRule="auto"/>
            </w:pPr>
            <w:r>
              <w:rPr>
                <w:rFonts w:ascii="Carlito" w:hAnsi="Carlito"/>
                <w:b w:val="0"/>
                <w:color w:val="000000"/>
                <w:sz w:val="15"/>
              </w:rPr>
              <w:t>OAPA + technical handover path</w:t>
            </w:r>
          </w:p>
        </w:tc>
      </w:tr>
    </w:tbl>
    <w:p>
      <w:pPr>
        <w:spacing w:after="0"/>
      </w:pPr>
    </w:p>
    <w:p>
      <w:pPr>
        <w:pStyle w:val="Heading1"/>
        <w:keepNext/>
        <w:spacing w:before="240" w:after="100"/>
      </w:pPr>
      <w:r>
        <w:t>5. Final corrections and release-gate treatment</w:t>
      </w:r>
    </w:p>
    <w:p>
      <w:pPr>
        <w:spacing w:after="120" w:line="252" w:lineRule="auto"/>
      </w:pPr>
      <w:r>
        <w:rPr>
          <w:rFonts w:ascii="Carlito" w:hAnsi="Carlito"/>
          <w:i w:val="0"/>
          <w:sz w:val="21"/>
        </w:rPr>
        <w:t>No further product-development, functional testing, documentation reconciliation or submission-packaging work is required for Team 74's delivered baseline. The final handover package, project records, PM closeout evidence and submission materials have been consolidated into one consistent final state.</w:t>
      </w:r>
    </w:p>
    <w:p>
      <w:pPr>
        <w:spacing w:after="120" w:line="252" w:lineRule="auto"/>
      </w:pPr>
      <w:r>
        <w:rPr>
          <w:rFonts w:ascii="Carlito" w:hAnsi="Carlito"/>
          <w:i w:val="0"/>
          <w:sz w:val="21"/>
        </w:rPr>
        <w:t>The final package reflects the implemented Moodle solution and the final client-agreed acceptance baseline. Historical sprint assumptions, superseded blockers and earlier prototype limitations have been reconciled so they do not conflict with the final delivered state.</w:t>
      </w:r>
    </w:p>
    <w:p>
      <w:pPr>
        <w:spacing w:after="120" w:line="252" w:lineRule="auto"/>
      </w:pPr>
      <w:r>
        <w:rPr>
          <w:rFonts w:ascii="Carlito" w:hAnsi="Carlito"/>
          <w:i w:val="0"/>
          <w:sz w:val="21"/>
        </w:rPr>
        <w:t>The final submission copy contains no unresolved placeholder text, stale 'in progress' requirement statuses or obsolete access blockers. Historical limitations are retained only where they are explicitly identified as prior context rather than current project status.</w:t>
      </w:r>
    </w:p>
    <w:p>
      <w:pPr>
        <w:pStyle w:val="Heading1"/>
        <w:keepNext/>
        <w:spacing w:before="240" w:after="100"/>
      </w:pPr>
      <w:r>
        <w:t>6. Submission package evidence map</w:t>
      </w:r>
    </w:p>
    <w:tbl>
      <w:tblPr>
        <w:tblStyle w:val="TableGrid"/>
        <w:tblW w:type="auto" w:w="0"/>
        <w:jc w:val="left"/>
        <w:tblLook w:firstColumn="1" w:firstRow="1" w:lastColumn="0" w:lastRow="0" w:noHBand="0" w:noVBand="1" w:val="04A0"/>
      </w:tblPr>
      <w:tblGrid>
        <w:gridCol w:w="4917"/>
        <w:gridCol w:w="4917"/>
      </w:tblGrid>
      <w:tr>
        <w:trPr>
          <w:tblHeader w:val="true"/>
        </w:trPr>
        <w:tc>
          <w:tcPr>
            <w:tcW w:type="dxa" w:w="21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Submission component</w:t>
            </w:r>
          </w:p>
        </w:tc>
        <w:tc>
          <w:tcPr>
            <w:tcW w:type="dxa" w:w="45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Primary evidence to retain / reference</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Governance closeout</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Sprint3FinalGovernanceHandoverCloseoutRecord.docx plus final client closeout transcript / meeting record.</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Submission readiness</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Sprint3FinalHandoverSubmissionReadinessRecord.docx plus final Planner/CRM/Master Document state.</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Requirements and acceptance</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BA requirements/user-story/acceptance evidence with delivered/descoped statuses and test traceability.</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UX and accessibility</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UX screens/flows, branding/navigation evidence, responsive/mobile evidence and accessibility audit material.</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Architecture / reproduction</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architecture/system-context material, local restore/reproduction steps and verification evidence.</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Technical implementation</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reusable-template, attendance, 2-of-3 gate, H5P/Quiz, Participants, reporting and hardening evidence.</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Client handover</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Handover Document, completed local release package and any client-facing reproduction/admin guidance.</w:t>
            </w:r>
          </w:p>
        </w:tc>
      </w:tr>
      <w:tr>
        <w:tc>
          <w:tcPr>
            <w:tcW w:type="dxa" w:w="2100"/>
            <w:tcMar>
              <w:top w:w="70" w:type="dxa"/>
              <w:start w:w="70" w:type="dxa"/>
              <w:bottom w:w="70" w:type="dxa"/>
              <w:end w:w="70" w:type="dxa"/>
            </w:tcMar>
            <w:vAlign w:val="top"/>
          </w:tcPr>
          <w:p>
            <w:pPr>
              <w:spacing w:after="20" w:before="0" w:line="240" w:lineRule="auto"/>
            </w:pPr>
            <w:r>
              <w:rPr>
                <w:rFonts w:ascii="Carlito" w:hAnsi="Carlito"/>
                <w:b w:val="0"/>
                <w:color w:val="000000"/>
                <w:sz w:val="16"/>
              </w:rPr>
              <w:t>Presentation</w:t>
            </w:r>
          </w:p>
        </w:tc>
        <w:tc>
          <w:tcPr>
            <w:tcW w:type="dxa" w:w="4500"/>
            <w:tcMar>
              <w:top w:w="70" w:type="dxa"/>
              <w:start w:w="70" w:type="dxa"/>
              <w:bottom w:w="70" w:type="dxa"/>
              <w:end w:w="70" w:type="dxa"/>
            </w:tcMar>
            <w:vAlign w:val="top"/>
          </w:tcPr>
          <w:p>
            <w:pPr>
              <w:spacing w:after="20" w:before="0" w:line="240" w:lineRule="auto"/>
            </w:pPr>
            <w:r>
              <w:rPr>
                <w:rFonts w:ascii="Carlito" w:hAnsi="Carlito"/>
                <w:b w:val="0"/>
                <w:color w:val="000000"/>
                <w:sz w:val="16"/>
              </w:rPr>
              <w:t>Final merged team deck plus live demo/reflection delivery.</w:t>
            </w:r>
          </w:p>
        </w:tc>
      </w:tr>
    </w:tbl>
    <w:p>
      <w:pPr>
        <w:spacing w:after="0"/>
      </w:pPr>
    </w:p>
    <w:p>
      <w:pPr>
        <w:pStyle w:val="Heading1"/>
        <w:keepNext/>
        <w:spacing w:before="240" w:after="100"/>
      </w:pPr>
      <w:r>
        <w:t>7. Final closeout ownership and completed actions</w:t>
      </w:r>
    </w:p>
    <w:tbl>
      <w:tblPr>
        <w:tblStyle w:val="TableGrid"/>
        <w:tblW w:type="auto" w:w="0"/>
        <w:jc w:val="left"/>
        <w:tblLook w:firstColumn="1" w:firstRow="1" w:lastColumn="0" w:lastRow="0" w:noHBand="0" w:noVBand="1" w:val="04A0"/>
      </w:tblPr>
      <w:tblGrid>
        <w:gridCol w:w="4917"/>
        <w:gridCol w:w="4917"/>
      </w:tblGrid>
      <w:tr>
        <w:trPr>
          <w:tblHeader w:val="true"/>
        </w:trPr>
        <w:tc>
          <w:tcPr>
            <w:tcW w:type="dxa" w:w="175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Owner</w:t>
            </w:r>
          </w:p>
        </w:tc>
        <w:tc>
          <w:tcPr>
            <w:tcW w:type="dxa" w:w="5000"/>
            <w:shd w:fill="EDEDED"/>
            <w:tcMar>
              <w:top w:w="70" w:type="dxa"/>
              <w:start w:w="70" w:type="dxa"/>
              <w:bottom w:w="70" w:type="dxa"/>
              <w:end w:w="70" w:type="dxa"/>
            </w:tcMar>
            <w:vAlign w:val="center"/>
          </w:tcPr>
          <w:p>
            <w:pPr>
              <w:spacing w:after="0" w:before="0" w:line="240" w:lineRule="auto"/>
            </w:pPr>
            <w:r>
              <w:rPr>
                <w:rFonts w:ascii="Carlito" w:hAnsi="Carlito"/>
                <w:b/>
                <w:color w:val="000000"/>
                <w:sz w:val="17"/>
              </w:rPr>
              <w:t>Immediate closeout action</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Aryan Rajendra - Project Manager</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Completed the PM closeout reconciliation across Task 81/82, Planner, project timeline, Master Document, handover baseline and final client documentation.</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Riley Pittard - Business Analyst</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Completed the final requirements, traceability and test-evidence position with no stale delivery statuses.</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Walaa Ghanduri - UX Designer</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Completed the final personas, design principles and final-screen evidence position for handover.</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Reshan Lahandapura - Developer 1</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Completed the final architecture, reproduction and deployment documentation for the delivered local release path.</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Shaikh Zarin Tasnim - Developer 2</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Completed the final technical-decision, Participants, H5P/Quiz, hardening and known-issue continuity documentation.</w:t>
            </w:r>
          </w:p>
        </w:tc>
      </w:tr>
      <w:tr>
        <w:tc>
          <w:tcPr>
            <w:tcW w:type="dxa" w:w="1750"/>
            <w:tcMar>
              <w:top w:w="70" w:type="dxa"/>
              <w:start w:w="70" w:type="dxa"/>
              <w:bottom w:w="70" w:type="dxa"/>
              <w:end w:w="70" w:type="dxa"/>
            </w:tcMar>
            <w:vAlign w:val="top"/>
          </w:tcPr>
          <w:p>
            <w:pPr>
              <w:spacing w:after="20" w:before="0" w:line="240" w:lineRule="auto"/>
            </w:pPr>
            <w:r>
              <w:rPr>
                <w:rFonts w:ascii="Carlito" w:hAnsi="Carlito"/>
                <w:b w:val="0"/>
                <w:color w:val="000000"/>
                <w:sz w:val="17"/>
              </w:rPr>
              <w:t>OAPA after receipt</w:t>
            </w:r>
          </w:p>
        </w:tc>
        <w:tc>
          <w:tcPr>
            <w:tcW w:type="dxa" w:w="5000"/>
            <w:tcMar>
              <w:top w:w="70" w:type="dxa"/>
              <w:start w:w="70" w:type="dxa"/>
              <w:bottom w:w="70" w:type="dxa"/>
              <w:end w:w="70" w:type="dxa"/>
            </w:tcMar>
            <w:vAlign w:val="top"/>
          </w:tcPr>
          <w:p>
            <w:pPr>
              <w:spacing w:after="20" w:before="0" w:line="240" w:lineRule="auto"/>
            </w:pPr>
            <w:r>
              <w:rPr>
                <w:rFonts w:ascii="Carlito" w:hAnsi="Carlito"/>
                <w:b w:val="0"/>
                <w:color w:val="000000"/>
                <w:sz w:val="17"/>
              </w:rPr>
              <w:t>The completed release and handover package supports optional future hosted reproduction/validation if OAPA chooses to continue it.</w:t>
            </w:r>
          </w:p>
        </w:tc>
      </w:tr>
    </w:tbl>
    <w:p>
      <w:pPr>
        <w:spacing w:after="0"/>
      </w:pPr>
    </w:p>
    <w:p>
      <w:pPr>
        <w:pStyle w:val="Heading1"/>
        <w:keepNext/>
        <w:spacing w:before="240" w:after="100"/>
      </w:pPr>
      <w:r>
        <w:t>8. Task 82 acceptance mapping</w:t>
      </w:r>
    </w:p>
    <w:tbl>
      <w:tblPr>
        <w:tblStyle w:val="TableGrid"/>
        <w:tblW w:type="auto" w:w="0"/>
        <w:jc w:val="left"/>
        <w:tblLook w:firstColumn="1" w:firstRow="1" w:lastColumn="0" w:lastRow="0" w:noHBand="0" w:noVBand="1" w:val="04A0"/>
      </w:tblPr>
      <w:tblGrid>
        <w:gridCol w:w="3278"/>
        <w:gridCol w:w="3278"/>
        <w:gridCol w:w="3278"/>
      </w:tblGrid>
      <w:tr>
        <w:trPr>
          <w:tblHeader w:val="true"/>
        </w:trPr>
        <w:tc>
          <w:tcPr>
            <w:tcW w:type="dxa" w:w="28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Task 82 acceptance item</w:t>
            </w:r>
          </w:p>
        </w:tc>
        <w:tc>
          <w:tcPr>
            <w:tcW w:type="dxa" w:w="335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Evidence in this record</w:t>
            </w:r>
          </w:p>
        </w:tc>
        <w:tc>
          <w:tcPr>
            <w:tcW w:type="dxa" w:w="600"/>
            <w:shd w:fill="EDEDED"/>
            <w:tcMar>
              <w:top w:w="70" w:type="dxa"/>
              <w:start w:w="70" w:type="dxa"/>
              <w:bottom w:w="70" w:type="dxa"/>
              <w:end w:w="70" w:type="dxa"/>
            </w:tcMar>
            <w:vAlign w:val="center"/>
          </w:tcPr>
          <w:p>
            <w:pPr>
              <w:spacing w:after="0" w:before="0" w:line="240" w:lineRule="auto"/>
            </w:pPr>
            <w:r>
              <w:rPr>
                <w:rFonts w:ascii="Carlito" w:hAnsi="Carlito"/>
                <w:b/>
                <w:color w:val="000000"/>
                <w:sz w:val="16"/>
              </w:rPr>
              <w:t>Status</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Handover, Planner, CRM, Master Document and evidence reconciled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2-3 reconcile each project record against one final delivered baseline.</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submission checklist created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4 records the final package items, state, evidence and owner.</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Outstanding corrections made transparent</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5 distinguishes final administrative actions from completed product work.</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Evidence package mapped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6 maps the final submission components to the retained evidence base.</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ownership assigned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 7 assigns every remaining administrative closeout action.</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r>
        <w:tc>
          <w:tcPr>
            <w:tcW w:type="dxa" w:w="2800"/>
            <w:tcMar>
              <w:top w:w="70" w:type="dxa"/>
              <w:start w:w="70" w:type="dxa"/>
              <w:bottom w:w="70" w:type="dxa"/>
              <w:end w:w="70" w:type="dxa"/>
            </w:tcMar>
            <w:vAlign w:val="top"/>
          </w:tcPr>
          <w:p>
            <w:pPr>
              <w:spacing w:after="20" w:before="0" w:line="240" w:lineRule="auto"/>
            </w:pPr>
            <w:r>
              <w:rPr>
                <w:rFonts w:ascii="Carlito" w:hAnsi="Carlito"/>
                <w:b w:val="0"/>
                <w:color w:val="000000"/>
                <w:sz w:val="16"/>
              </w:rPr>
              <w:t>Final client closeout incorporated</w:t>
            </w:r>
          </w:p>
        </w:tc>
        <w:tc>
          <w:tcPr>
            <w:tcW w:type="dxa" w:w="3350"/>
            <w:tcMar>
              <w:top w:w="70" w:type="dxa"/>
              <w:start w:w="70" w:type="dxa"/>
              <w:bottom w:w="70" w:type="dxa"/>
              <w:end w:w="70" w:type="dxa"/>
            </w:tcMar>
            <w:vAlign w:val="top"/>
          </w:tcPr>
          <w:p>
            <w:pPr>
              <w:spacing w:after="20" w:before="0" w:line="240" w:lineRule="auto"/>
            </w:pPr>
            <w:r>
              <w:rPr>
                <w:rFonts w:ascii="Carlito" w:hAnsi="Carlito"/>
                <w:b w:val="0"/>
                <w:color w:val="000000"/>
                <w:sz w:val="16"/>
              </w:rPr>
              <w:t>Sections 1-4 use the 27 October OAPA closeout as the final stakeholder baseline.</w:t>
            </w:r>
          </w:p>
        </w:tc>
        <w:tc>
          <w:tcPr>
            <w:tcW w:type="dxa" w:w="600"/>
            <w:tcMar>
              <w:top w:w="70" w:type="dxa"/>
              <w:start w:w="70" w:type="dxa"/>
              <w:bottom w:w="70" w:type="dxa"/>
              <w:end w:w="70" w:type="dxa"/>
            </w:tcMar>
            <w:vAlign w:val="top"/>
          </w:tcPr>
          <w:p>
            <w:pPr>
              <w:spacing w:after="20" w:before="0" w:line="240" w:lineRule="auto"/>
            </w:pPr>
            <w:r>
              <w:rPr>
                <w:rFonts w:ascii="Carlito" w:hAnsi="Carlito"/>
                <w:b w:val="0"/>
                <w:color w:val="000000"/>
                <w:sz w:val="16"/>
              </w:rPr>
              <w:t>Met</w:t>
            </w:r>
          </w:p>
        </w:tc>
      </w:tr>
    </w:tbl>
    <w:p>
      <w:pPr>
        <w:spacing w:after="0"/>
      </w:pPr>
    </w:p>
    <w:p>
      <w:pPr>
        <w:pStyle w:val="Heading1"/>
        <w:keepNext/>
        <w:spacing w:before="240" w:after="100"/>
      </w:pPr>
      <w:r>
        <w:t>9. PM completion statement</w:t>
      </w:r>
    </w:p>
    <w:p>
      <w:pPr>
        <w:spacing w:after="120" w:line="252" w:lineRule="auto"/>
      </w:pPr>
      <w:r>
        <w:rPr>
          <w:rFonts w:ascii="Carlito" w:hAnsi="Carlito"/>
          <w:i w:val="0"/>
          <w:sz w:val="21"/>
        </w:rPr>
        <w:t>Task 82 is complete as the PM's final integration and submission-readiness closeout. All project records use one consistent final position: the reusable Moodle framework is implemented and tested; the completed local Moodle release is the guaranteed handover artefact; the final handover, governance and evidence records are reconciled; and hosted transfer is an optional OAPA continuation outside the Team 74 submission baseline. The project package is complete and submission-ready, with no outstanding Team 74 development, testing, documentation or handover action preventing final submission.</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E6E6E"/>
        <w:sz w:val="16"/>
      </w:rPr>
      <w:t>Team 74 | OAPA Academy Moodle | Sprint 3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after="100"/>
    </w:pPr>
    <w:rPr>
      <w:rFonts w:ascii="Carlito" w:hAnsi="Carlito"/>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