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rlito" w:hAnsi="Carlito"/>
          <w:b w:val="0"/>
          <w:color w:val="000000"/>
          <w:sz w:val="40"/>
        </w:rPr>
        <w:t>Sprint 2 Week 2 Build Review &amp; Stakeholder Alignment Record</w:t>
      </w:r>
    </w:p>
    <w:p>
      <w:pPr>
        <w:spacing w:after="200"/>
      </w:pPr>
      <w:r>
        <w:rPr>
          <w:rFonts w:ascii="Carlito" w:hAnsi="Carlito"/>
          <w:color w:val="5A5A5A"/>
          <w:sz w:val="24"/>
        </w:rPr>
        <w:t>Task 41 - Mid-sprint client/supervisor build review, decisions, open items and follow-up 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sz w:val="18"/>
              </w:rPr>
              <w:t>Project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sz w:val="18"/>
              </w:rPr>
              <w:t>P000785CSITCP / Group 74 - Team A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sz w:val="18"/>
              </w:rPr>
              <w:t>Owner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sz w:val="18"/>
              </w:rPr>
              <w:t>Aryan Rajendra - Project Manager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sz w:val="18"/>
              </w:rPr>
              <w:t>Status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sz w:val="18"/>
              </w:rPr>
              <w:t>Final / Task 41 completion evidence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b/>
                <w:sz w:val="18"/>
              </w:rPr>
              <w:t>Current as of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sz w:val="18"/>
              </w:rPr>
              <w:t>26 September 2026</w:t>
            </w:r>
          </w:p>
        </w:tc>
      </w:tr>
    </w:tbl>
    <w:p>
      <w:pPr>
        <w:spacing w:after="0"/>
      </w:pPr>
    </w:p>
    <w:p>
      <w:pPr>
        <w:pStyle w:val="Heading1"/>
      </w:pPr>
      <w:r>
        <w:t>1. Purpose and review context</w:t>
      </w:r>
    </w:p>
    <w:p>
      <w:r>
        <w:t>This record captures the Sprint 2 Week 2 stakeholder build review for Team 74 and converts the latest client decisions into an implementation handoff. The review was grounded in the real OAPA Academy development course, the Week 1 Core MVP evidence, the Week 2 developer build, the UX build review, and the client meeting held on 24 September 2026.</w:t>
      </w:r>
    </w:p>
    <w:p>
      <w:r>
        <w:t>The client meeting with Michael Cowling and Jo-Anne Kelder was used as the primary Week 2 stakeholder review. The team demonstrated the current prototype in Student view, including the reusable three-module structure, sequential restrictions and the two-of-three workshop eligibility logic. The client response to the current direction was positive, while several workflow and site-level requirements were clarified for the remaining Sprint 2 implementation.</w:t>
      </w:r>
    </w:p>
    <w:p>
      <w:r>
        <w:t>A separate supervisor meeting was not required this week because there were no supervisor-side questions or unresolved matters needing Vic Ciesielski's clarification. The PM notified Vic of the project status and confirmed that the client meeting would still proceed. Any issue that becomes a supervisor-level delivery risk will be escalated through the normal governance route.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5F5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rlito" w:hAnsi="Carlito"/>
                <w:i/>
                <w:sz w:val="19"/>
              </w:rPr>
              <w:t>Scope control: Sprint 2 remains focused on one representative reusable OAPA Academy course framework. New client clarifications refine the existing Core MVP and do not authorise expansion into a full Academy rebuild, new backend infrastructure or unrelated platform work.</w:t>
            </w:r>
          </w:p>
        </w:tc>
      </w:tr>
    </w:tbl>
    <w:p>
      <w:pPr>
        <w:spacing w:after="0"/>
      </w:pPr>
    </w:p>
    <w:p>
      <w:pPr>
        <w:pStyle w:val="Heading1"/>
      </w:pPr>
      <w:r>
        <w:t>2. Current build position reviewed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1800"/>
            <w:shd w:fill="EDEDE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b/>
                <w:sz w:val="17"/>
              </w:rPr>
              <w:t>Review area</w:t>
            </w:r>
          </w:p>
        </w:tc>
        <w:tc>
          <w:tcPr>
            <w:tcW w:type="dxa" w:w="1728"/>
            <w:shd w:fill="EDEDE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b/>
                <w:sz w:val="17"/>
              </w:rPr>
              <w:t>Current status</w:t>
            </w:r>
          </w:p>
        </w:tc>
        <w:tc>
          <w:tcPr>
            <w:tcW w:type="dxa" w:w="3384"/>
            <w:shd w:fill="EDEDE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b/>
                <w:sz w:val="17"/>
              </w:rPr>
              <w:t>Evidence / observed state</w:t>
            </w:r>
          </w:p>
        </w:tc>
        <w:tc>
          <w:tcPr>
            <w:tcW w:type="dxa" w:w="3024"/>
            <w:shd w:fill="EDEDE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b/>
                <w:sz w:val="17"/>
              </w:rPr>
              <w:t>Week 2 follow-up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7"/>
              </w:rPr>
              <w:t>Reusable course shell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7"/>
              </w:rPr>
              <w:t>Working</w:t>
            </w:r>
          </w:p>
        </w:tc>
        <w:tc>
          <w:tcPr>
            <w:tcW w:type="dxa" w:w="33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7"/>
              </w:rPr>
              <w:t>Course Home/general area, Modules 1-3, Workshops 1-3 and the Assessment area are present in the Team 74 development course.</w:t>
            </w:r>
          </w:p>
        </w:tc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7"/>
              </w:rPr>
              <w:t>Keep the shell reusable and separate from course-specific academic content.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7"/>
              </w:rPr>
              <w:t>Sequential progression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7"/>
              </w:rPr>
              <w:t>Working / client-confirmed default</w:t>
            </w:r>
          </w:p>
        </w:tc>
        <w:tc>
          <w:tcPr>
            <w:tcW w:type="dxa" w:w="33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7"/>
              </w:rPr>
              <w:t>Current restrictions prevent learners from skipping required prior content. Later content can remain visible but restricted.</w:t>
            </w:r>
          </w:p>
        </w:tc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7"/>
              </w:rPr>
              <w:t>Keep sequential progression as the default while allowing facilitator configuration where Moodle supports it.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7"/>
              </w:rPr>
              <w:t>Workshop eligibility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7"/>
              </w:rPr>
              <w:t>Logic working; attendance source not final</w:t>
            </w:r>
          </w:p>
        </w:tc>
        <w:tc>
          <w:tcPr>
            <w:tcW w:type="dxa" w:w="33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7"/>
              </w:rPr>
              <w:t>The Assessment can remain locked with zero/one workshop and unlock after any valid two-of-three workshop combination.</w:t>
            </w:r>
          </w:p>
        </w:tc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7"/>
              </w:rPr>
              <w:t>Replace interim learner self-completion with a verifiable attendance source and manual exception route.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7"/>
              </w:rPr>
              <w:t>Self-check / quiz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7"/>
              </w:rPr>
              <w:t>Working</w:t>
            </w:r>
          </w:p>
        </w:tc>
        <w:tc>
          <w:tcPr>
            <w:tcW w:type="dxa" w:w="33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7"/>
              </w:rPr>
              <w:t>A Moodle-native Quiz/self-check pattern is available and H5P Question Set support has been re-opened after Sam installed the missing content type.</w:t>
            </w:r>
          </w:p>
        </w:tc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7"/>
              </w:rPr>
              <w:t>Zarin to re-test H5P; keep native Quiz as a valid fallback.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7"/>
              </w:rPr>
              <w:t>Assessment workflow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7"/>
              </w:rPr>
              <w:t>Partially implemented</w:t>
            </w:r>
          </w:p>
        </w:tc>
        <w:tc>
          <w:tcPr>
            <w:tcW w:type="dxa" w:w="33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7"/>
              </w:rPr>
              <w:t>Soft/hard dates, resubmission, extension and grade visibility have been prototyped in the real Academy.</w:t>
            </w:r>
          </w:p>
        </w:tc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7"/>
              </w:rPr>
              <w:t>Align final behaviour with the client decision on soft feedback, pass/fail marking and facilitator discretion for late cases.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7"/>
              </w:rPr>
              <w:t>Learner progress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7"/>
              </w:rPr>
              <w:t>Working at course level</w:t>
            </w:r>
          </w:p>
        </w:tc>
        <w:tc>
          <w:tcPr>
            <w:tcW w:type="dxa" w:w="33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7"/>
              </w:rPr>
              <w:t>Completion and locked/unlocked states are visible and persist through the learner journey.</w:t>
            </w:r>
          </w:p>
        </w:tc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7"/>
              </w:rPr>
              <w:t>Complete Week 2 reporting verification from learner and staff views.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7"/>
              </w:rPr>
              <w:t>UX / branding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7"/>
              </w:rPr>
              <w:t>UX review complete; site theming outstanding</w:t>
            </w:r>
          </w:p>
        </w:tc>
        <w:tc>
          <w:tcPr>
            <w:tcW w:type="dxa" w:w="33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7"/>
              </w:rPr>
              <w:t>UX reviewed the real build. OAPA Brand Book treatment is not yet fully applied because theme-level controls sit outside normal Teacher permissions.</w:t>
            </w:r>
          </w:p>
        </w:tc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7"/>
              </w:rPr>
              <w:t>Apply feasible course-level corrections and progress the site-level theme/access request with Sam.</w:t>
            </w:r>
          </w:p>
        </w:tc>
      </w:tr>
    </w:tbl>
    <w:p>
      <w:pPr>
        <w:spacing w:after="0"/>
      </w:pPr>
    </w:p>
    <w:p>
      <w:pPr>
        <w:pStyle w:val="Heading1"/>
      </w:pPr>
      <w:r>
        <w:t>3. Client decisions confirmed on 24 September 2026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2088"/>
            <w:shd w:fill="EDEDE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b/>
                <w:sz w:val="16"/>
              </w:rPr>
              <w:t>Decision area</w:t>
            </w:r>
          </w:p>
        </w:tc>
        <w:tc>
          <w:tcPr>
            <w:tcW w:type="dxa" w:w="4536"/>
            <w:shd w:fill="EDEDE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b/>
                <w:sz w:val="16"/>
              </w:rPr>
              <w:t>Client clarification</w:t>
            </w:r>
          </w:p>
        </w:tc>
        <w:tc>
          <w:tcPr>
            <w:tcW w:type="dxa" w:w="3600"/>
            <w:shd w:fill="EDEDE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b/>
                <w:sz w:val="16"/>
              </w:rPr>
              <w:t>Implementation consequence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6"/>
              </w:rPr>
              <w:t>Online workshop delivery</w:t>
            </w:r>
          </w:p>
        </w:tc>
        <w:tc>
          <w:tcPr>
            <w:tcW w:type="dxa" w:w="45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6"/>
              </w:rPr>
              <w:t>Workshops are live online sessions. OAPA previously used Zoom links embedded in Moodle and now intends to use MS Teams links.</w:t>
            </w:r>
          </w:p>
        </w:tc>
        <w:tc>
          <w:tcPr>
            <w:tcW w:type="dxa" w:w="36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6"/>
              </w:rPr>
              <w:t>Represent the workshop clearly in Moodle and link learners to the live Teams session rather than treating it as ordinary static content.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6"/>
              </w:rPr>
              <w:t>Workshop attendance evidence</w:t>
            </w:r>
          </w:p>
        </w:tc>
        <w:tc>
          <w:tcPr>
            <w:tcW w:type="dxa" w:w="45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6"/>
              </w:rPr>
              <w:t>OAPA wants a verifiable record of actual attendance and prefers automated recording where possible. Manual override should remain available for exceptional cases.</w:t>
            </w:r>
          </w:p>
        </w:tc>
        <w:tc>
          <w:tcPr>
            <w:tcW w:type="dxa" w:w="36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6"/>
              </w:rPr>
              <w:t>Investigate Teams attendance/Moodle integration or an OAPA-supported attendance mechanism; retain a staff override route.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6"/>
              </w:rPr>
              <w:t>Workshop hurdle</w:t>
            </w:r>
          </w:p>
        </w:tc>
        <w:tc>
          <w:tcPr>
            <w:tcW w:type="dxa" w:w="45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6"/>
              </w:rPr>
              <w:t>Learners must attend at least 2 of the 3 workshops before becoming eligible for the assessment.</w:t>
            </w:r>
          </w:p>
        </w:tc>
        <w:tc>
          <w:tcPr>
            <w:tcW w:type="dxa" w:w="36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6"/>
              </w:rPr>
              <w:t>Keep the already-proven two-of-three access logic and connect it to the final attendance record.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6"/>
              </w:rPr>
              <w:t>Attendance quality</w:t>
            </w:r>
          </w:p>
        </w:tc>
        <w:tc>
          <w:tcPr>
            <w:tcW w:type="dxa" w:w="45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6"/>
              </w:rPr>
              <w:t>Attendance is about being present for the session rather than level of interaction. OAPA indicated that staying for the majority of the workshop can be used as a practical attendance criterion.</w:t>
            </w:r>
          </w:p>
        </w:tc>
        <w:tc>
          <w:tcPr>
            <w:tcW w:type="dxa" w:w="36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6"/>
              </w:rPr>
              <w:t>Final attendance process should be capable of supporting a defensible attendance record rather than learner self-certification.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6"/>
              </w:rPr>
              <w:t>Reusable template structure</w:t>
            </w:r>
          </w:p>
        </w:tc>
        <w:tc>
          <w:tcPr>
            <w:tcW w:type="dxa" w:w="45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6"/>
              </w:rPr>
              <w:t>The three-module structure is a useful default, but the template should be flexible for shorter, longer, face-to-face or hybrid offerings.</w:t>
            </w:r>
          </w:p>
        </w:tc>
        <w:tc>
          <w:tcPr>
            <w:tcW w:type="dxa" w:w="36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6"/>
              </w:rPr>
              <w:t>Do not hard-code the framework so that only exactly three modules can ever be used.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6"/>
              </w:rPr>
              <w:t>Module progression</w:t>
            </w:r>
          </w:p>
        </w:tc>
        <w:tc>
          <w:tcPr>
            <w:tcW w:type="dxa" w:w="45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6"/>
              </w:rPr>
              <w:t>Progression should be configurable by facilitators. The preferred default is sequential access, with later modules restricted until prior requirements are met.</w:t>
            </w:r>
          </w:p>
        </w:tc>
        <w:tc>
          <w:tcPr>
            <w:tcW w:type="dxa" w:w="36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6"/>
              </w:rPr>
              <w:t>Keep sequential restrictions as the default pattern but document how a facilitator can adapt them.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6"/>
              </w:rPr>
              <w:t>Assessment grading</w:t>
            </w:r>
          </w:p>
        </w:tc>
        <w:tc>
          <w:tcPr>
            <w:tcW w:type="dxa" w:w="45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6"/>
              </w:rPr>
              <w:t>Assessment is pass/fail. There is no late penalty model.</w:t>
            </w:r>
          </w:p>
        </w:tc>
        <w:tc>
          <w:tcPr>
            <w:tcW w:type="dxa" w:w="36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6"/>
              </w:rPr>
              <w:t>Do not implement percentage penalties for lateness.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6"/>
              </w:rPr>
              <w:t>Soft deadline</w:t>
            </w:r>
          </w:p>
        </w:tc>
        <w:tc>
          <w:tcPr>
            <w:tcW w:type="dxa" w:w="45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6"/>
              </w:rPr>
              <w:t>Learners may submit before the soft cutoff to receive facilitator feedback and then revise before the hard deadline. The soft cutoff must leave enough time for feedback and revision.</w:t>
            </w:r>
          </w:p>
        </w:tc>
        <w:tc>
          <w:tcPr>
            <w:tcW w:type="dxa" w:w="36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6"/>
              </w:rPr>
              <w:t>Configure the representative feedback/revision route and document the soft cutoff as configurable.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6"/>
              </w:rPr>
              <w:t>Hard deadline / late cases</w:t>
            </w:r>
          </w:p>
        </w:tc>
        <w:tc>
          <w:tcPr>
            <w:tcW w:type="dxa" w:w="45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6"/>
              </w:rPr>
              <w:t>The hard date is the policy deadline, but late cases may still be accepted at the facilitator's discretion. OAPA wants flexibility for individual circumstances.</w:t>
            </w:r>
          </w:p>
        </w:tc>
        <w:tc>
          <w:tcPr>
            <w:tcW w:type="dxa" w:w="36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6"/>
              </w:rPr>
              <w:t>Do not permanently hard-close the workflow in a way that prevents the agreed facilitator discretion.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6"/>
              </w:rPr>
              <w:t>Branding and theming</w:t>
            </w:r>
          </w:p>
        </w:tc>
        <w:tc>
          <w:tcPr>
            <w:tcW w:type="dxa" w:w="45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6"/>
              </w:rPr>
              <w:t>The prototype still needs OAPA branding applied in line with the Brand Book.</w:t>
            </w:r>
          </w:p>
        </w:tc>
        <w:tc>
          <w:tcPr>
            <w:tcW w:type="dxa" w:w="36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6"/>
              </w:rPr>
              <w:t>Site-level theme/access support has been requested from Sam for typography, black/white styling and signature treatment.</w:t>
            </w:r>
          </w:p>
        </w:tc>
      </w:tr>
    </w:tbl>
    <w:p>
      <w:pPr>
        <w:spacing w:after="0"/>
      </w:pPr>
    </w:p>
    <w:p>
      <w:pPr>
        <w:pStyle w:val="Heading1"/>
      </w:pPr>
      <w:r>
        <w:t>4. Prototype review and stakeholder feedback</w:t>
      </w:r>
    </w:p>
    <w:p>
      <w:r>
        <w:t>During the meeting, the current prototype was demonstrated from the learner perspective. The demonstration covered the three-module reusable structure, visible restrictions, step-by-step progression and the assessment restriction based on completion of any two workshops. The client accepted the direction of the prototype and responded positively to the reusable-template concept.</w:t>
      </w:r>
    </w:p>
    <w:p>
      <w:r>
        <w:t>Michael specifically asked about the OAPA theming/branding that had appeared in earlier design work. The team confirmed that branding against the OAPA Brand Book remains part of the implementation and will be progressed as site-level access/support becomes available. The client also confirmed that the reusable template should remain configurable rather than being limited permanently to one fixed three-module format.</w:t>
      </w:r>
    </w:p>
    <w:p>
      <w:pPr>
        <w:pStyle w:val="Heading1"/>
      </w:pPr>
      <w:r>
        <w:t>5. Open items and implementation corrections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rPr>
          <w:tblHeader w:val="true"/>
        </w:trPr>
        <w:tc>
          <w:tcPr>
            <w:tcW w:type="dxa" w:w="504"/>
            <w:shd w:fill="EDEDE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b/>
                <w:sz w:val="15"/>
              </w:rPr>
              <w:t>ID</w:t>
            </w:r>
          </w:p>
        </w:tc>
        <w:tc>
          <w:tcPr>
            <w:tcW w:type="dxa" w:w="1728"/>
            <w:shd w:fill="EDEDE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b/>
                <w:sz w:val="15"/>
              </w:rPr>
              <w:t>Open item</w:t>
            </w:r>
          </w:p>
        </w:tc>
        <w:tc>
          <w:tcPr>
            <w:tcW w:type="dxa" w:w="1080"/>
            <w:shd w:fill="EDEDE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b/>
                <w:sz w:val="15"/>
              </w:rPr>
              <w:t>Priority</w:t>
            </w:r>
          </w:p>
        </w:tc>
        <w:tc>
          <w:tcPr>
            <w:tcW w:type="dxa" w:w="3168"/>
            <w:shd w:fill="EDEDE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b/>
                <w:sz w:val="15"/>
              </w:rPr>
              <w:t>Current evidence</w:t>
            </w:r>
          </w:p>
        </w:tc>
        <w:tc>
          <w:tcPr>
            <w:tcW w:type="dxa" w:w="1440"/>
            <w:shd w:fill="EDEDE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b/>
                <w:sz w:val="15"/>
              </w:rPr>
              <w:t>Owner</w:t>
            </w:r>
          </w:p>
        </w:tc>
        <w:tc>
          <w:tcPr>
            <w:tcW w:type="dxa" w:w="2376"/>
            <w:shd w:fill="EDEDE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b/>
                <w:sz w:val="15"/>
              </w:rPr>
              <w:t>Required action</w:t>
            </w:r>
          </w:p>
        </w:tc>
      </w:tr>
      <w:tr>
        <w:trPr>
          <w:cantSplit/>
        </w:trPr>
        <w:tc>
          <w:tcPr>
            <w:tcW w:type="dxa" w:w="5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A1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Workshop attendance mechanism</w:t>
            </w:r>
          </w:p>
        </w:tc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High</w:t>
            </w:r>
          </w:p>
        </w:tc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Current Task 47 build uses learner self-marking as an interim stand-in. This is not the final client-approved attendance record.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Reshan + Aryan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Preserve two-of-three logic; replace interim completion source once Sam confirms the supported site-level route.</w:t>
            </w:r>
          </w:p>
        </w:tc>
      </w:tr>
      <w:tr>
        <w:trPr>
          <w:cantSplit/>
        </w:trPr>
        <w:tc>
          <w:tcPr>
            <w:tcW w:type="dxa" w:w="5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A2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Assessment late-case behaviour</w:t>
            </w:r>
          </w:p>
        </w:tc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High</w:t>
            </w:r>
          </w:p>
        </w:tc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Current Task 48 prototype uses a hard cutoff that stops submissions after the date, while the client requires facilitator discretion for exceptional late cases.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Reshan + Riley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Adjust the workflow so the policy deadline is retained without removing facilitator discretion.</w:t>
            </w:r>
          </w:p>
        </w:tc>
      </w:tr>
      <w:tr>
        <w:trPr>
          <w:cantSplit/>
        </w:trPr>
        <w:tc>
          <w:tcPr>
            <w:tcW w:type="dxa" w:w="5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A3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Soft feedback/final path</w:t>
            </w:r>
          </w:p>
        </w:tc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High</w:t>
            </w:r>
          </w:p>
        </w:tc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The client clarified that early soft submission is for feedback/revision, while learners who skip the soft route can submit final by the hard date but do not receive another resubmission opportunity.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Reshan + Riley + Zarin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Validate the exact Student/Teacher workflow and cross-test both paths.</w:t>
            </w:r>
          </w:p>
        </w:tc>
      </w:tr>
      <w:tr>
        <w:trPr>
          <w:cantSplit/>
        </w:trPr>
        <w:tc>
          <w:tcPr>
            <w:tcW w:type="dxa" w:w="5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A4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UX documentation alignment</w:t>
            </w:r>
          </w:p>
        </w:tc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Medium</w:t>
            </w:r>
          </w:p>
        </w:tc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The current UX build review contains a Module 4 concept and an 80% quiz threshold assumption that are not confirmed client requirements.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Walaa + Riley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Keep Assessment separate from the module count and do not lock in a quiz threshold unless confirmed.</w:t>
            </w:r>
          </w:p>
        </w:tc>
      </w:tr>
      <w:tr>
        <w:trPr>
          <w:cantSplit/>
        </w:trPr>
        <w:tc>
          <w:tcPr>
            <w:tcW w:type="dxa" w:w="5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A5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Brand Book implementation</w:t>
            </w:r>
          </w:p>
        </w:tc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Medium-High</w:t>
            </w:r>
          </w:p>
        </w:tc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Full OAPA theme treatment is not available through ordinary Teacher controls.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Walaa + Devs + Aryan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Implement feasible course-level treatment; track site-level access/support request with Sam.</w:t>
            </w:r>
          </w:p>
        </w:tc>
      </w:tr>
      <w:tr>
        <w:trPr>
          <w:cantSplit/>
        </w:trPr>
        <w:tc>
          <w:tcPr>
            <w:tcW w:type="dxa" w:w="5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A6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H5P Question Set re-test</w:t>
            </w:r>
          </w:p>
        </w:tc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Medium / optional</w:t>
            </w:r>
          </w:p>
        </w:tc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Sam has installed the Question Set content type from the official H5P library; the team has not yet documented a successful re-test in the Week 2 repository.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Zarin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Re-test in the real Academy and document the result. Native Quiz remains a valid Core MVP fallback.</w:t>
            </w:r>
          </w:p>
        </w:tc>
      </w:tr>
      <w:tr>
        <w:trPr>
          <w:cantSplit/>
        </w:trPr>
        <w:tc>
          <w:tcPr>
            <w:tcW w:type="dxa" w:w="50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A7</w:t>
            </w:r>
          </w:p>
        </w:tc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Staff reporting verification</w:t>
            </w:r>
          </w:p>
        </w:tc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Medium</w:t>
            </w:r>
          </w:p>
        </w:tc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Course-level progress works, but Week 2 staff-side reporting verification is still required.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Zarin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5"/>
              </w:rPr>
              <w:t>Complete Task 49 with learner/test-state and Teacher-side evidence.</w:t>
            </w:r>
          </w:p>
        </w:tc>
      </w:tr>
    </w:tbl>
    <w:p>
      <w:pPr>
        <w:spacing w:after="0"/>
      </w:pPr>
    </w:p>
    <w:p>
      <w:pPr>
        <w:pStyle w:val="Heading1"/>
      </w:pPr>
      <w:r>
        <w:t>6. Agreed follow-up actions and owners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2088"/>
            <w:shd w:fill="EDEDE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b/>
                <w:sz w:val="17"/>
              </w:rPr>
              <w:t>Owner</w:t>
            </w:r>
          </w:p>
        </w:tc>
        <w:tc>
          <w:tcPr>
            <w:tcW w:type="dxa" w:w="8280"/>
            <w:shd w:fill="EDEDE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b/>
                <w:sz w:val="17"/>
              </w:rPr>
              <w:t>Week 2 follow-up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7"/>
              </w:rPr>
              <w:t>Aryan / PM</w:t>
            </w:r>
          </w:p>
        </w:tc>
        <w:tc>
          <w:tcPr>
            <w:tcW w:type="dxa" w:w="82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7"/>
              </w:rPr>
              <w:t>Maintain the current Planner/risk baseline; track the site-level attendance and Brand Book requests sent to Sam; escalate only exact evidenced blockers.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7"/>
              </w:rPr>
              <w:t>Riley / BA</w:t>
            </w:r>
          </w:p>
        </w:tc>
        <w:tc>
          <w:tcPr>
            <w:tcW w:type="dxa" w:w="82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7"/>
              </w:rPr>
              <w:t>Update final workflow criteria to match the 24 September client decisions, especially attendance, assessment deadlines, late-case discretion and reusable-template flexibility.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7"/>
              </w:rPr>
              <w:t>Walaa / UX</w:t>
            </w:r>
          </w:p>
        </w:tc>
        <w:tc>
          <w:tcPr>
            <w:tcW w:type="dxa" w:w="82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7"/>
              </w:rPr>
              <w:t>Review the implemented learner journey, correct the Module 4/mandatory workshop assumptions, and specify Brand Book corrections that can be implemented now versus site-level changes.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7"/>
              </w:rPr>
              <w:t>Reshan / Dev 1</w:t>
            </w:r>
          </w:p>
        </w:tc>
        <w:tc>
          <w:tcPr>
            <w:tcW w:type="dxa" w:w="82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7"/>
              </w:rPr>
              <w:t>Keep the two-of-three gate, replace interim attendance completion when the supported route is confirmed, and align the assessment configuration with the client deadline decisions.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7"/>
              </w:rPr>
              <w:t>Zarin / Dev 2</w:t>
            </w:r>
          </w:p>
        </w:tc>
        <w:tc>
          <w:tcPr>
            <w:tcW w:type="dxa" w:w="82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7"/>
              </w:rPr>
              <w:t>Re-test H5P after Sam's fix, verify learner/staff reporting, and independently cross-test attendance/assessment edge cases after Dev 1 corrections.</w:t>
            </w:r>
          </w:p>
        </w:tc>
      </w:tr>
    </w:tbl>
    <w:p>
      <w:pPr>
        <w:spacing w:after="0"/>
      </w:pPr>
    </w:p>
    <w:p>
      <w:pPr>
        <w:pStyle w:val="Heading1"/>
      </w:pPr>
      <w:r>
        <w:t>7. Evidence and communication sources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4824"/>
            <w:shd w:fill="EDEDE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b/>
                <w:sz w:val="17"/>
              </w:rPr>
              <w:t>Evidence source</w:t>
            </w:r>
          </w:p>
        </w:tc>
        <w:tc>
          <w:tcPr>
            <w:tcW w:type="dxa" w:w="5544"/>
            <w:shd w:fill="EDEDE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b/>
                <w:sz w:val="17"/>
              </w:rPr>
              <w:t>Purpose</w:t>
            </w:r>
          </w:p>
        </w:tc>
      </w:tr>
      <w:tr>
        <w:trPr>
          <w:cantSplit/>
        </w:trPr>
        <w:tc>
          <w:tcPr>
            <w:tcW w:type="dxa" w:w="48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7"/>
              </w:rPr>
              <w:t>Weekly Recurring Client Meetings.docx - 24 September 2026</w:t>
            </w:r>
          </w:p>
        </w:tc>
        <w:tc>
          <w:tcPr>
            <w:tcW w:type="dxa" w:w="55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7"/>
              </w:rPr>
              <w:t>Primary client-meeting transcript and prototype-review record.</w:t>
            </w:r>
          </w:p>
        </w:tc>
      </w:tr>
      <w:tr>
        <w:trPr>
          <w:cantSplit/>
        </w:trPr>
        <w:tc>
          <w:tcPr>
            <w:tcW w:type="dxa" w:w="48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7"/>
              </w:rPr>
              <w:t>Sprint 2 / Week 2 / Reshan Lahandapura - Developer 1 / Task 47 - Implementing Workshops 1-3 and assignment access.pdf</w:t>
            </w:r>
          </w:p>
        </w:tc>
        <w:tc>
          <w:tcPr>
            <w:tcW w:type="dxa" w:w="55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7"/>
              </w:rPr>
              <w:t>Evidence of two-of-three restriction behaviour and the interim workshop-completion limitation.</w:t>
            </w:r>
          </w:p>
        </w:tc>
      </w:tr>
      <w:tr>
        <w:trPr>
          <w:cantSplit/>
        </w:trPr>
        <w:tc>
          <w:tcPr>
            <w:tcW w:type="dxa" w:w="48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7"/>
              </w:rPr>
              <w:t>Sprint 2 / Week 2 / Reshan Lahandapura - Developer 1 / Task 48 - adding soft-deadline and hard deadline on assignment + others.pdf</w:t>
            </w:r>
          </w:p>
        </w:tc>
        <w:tc>
          <w:tcPr>
            <w:tcW w:type="dxa" w:w="55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7"/>
              </w:rPr>
              <w:t>Evidence of current assessment dates, resubmission, extension and grade-visibility configuration.</w:t>
            </w:r>
          </w:p>
        </w:tc>
      </w:tr>
      <w:tr>
        <w:trPr>
          <w:cantSplit/>
        </w:trPr>
        <w:tc>
          <w:tcPr>
            <w:tcW w:type="dxa" w:w="48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7"/>
              </w:rPr>
              <w:t>Sprint 2 / Week 2 / Walaa Ghanduri - UX Designer / Build review.pdf</w:t>
            </w:r>
          </w:p>
        </w:tc>
        <w:tc>
          <w:tcPr>
            <w:tcW w:type="dxa" w:w="55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7"/>
              </w:rPr>
              <w:t>UX review of the real Academy build and current site-level theming constraints.</w:t>
            </w:r>
          </w:p>
        </w:tc>
      </w:tr>
      <w:tr>
        <w:trPr>
          <w:cantSplit/>
        </w:trPr>
        <w:tc>
          <w:tcPr>
            <w:tcW w:type="dxa" w:w="48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7"/>
              </w:rPr>
              <w:t>OAPA_Brand_Book.docx</w:t>
            </w:r>
          </w:p>
        </w:tc>
        <w:tc>
          <w:tcPr>
            <w:tcW w:type="dxa" w:w="55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7"/>
              </w:rPr>
              <w:t>Brand baseline: OAPA signature treatment, Newsreader/Archivo typography and black/white visual rules.</w:t>
            </w:r>
          </w:p>
        </w:tc>
      </w:tr>
      <w:tr>
        <w:trPr>
          <w:cantSplit/>
        </w:trPr>
        <w:tc>
          <w:tcPr>
            <w:tcW w:type="dxa" w:w="48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7"/>
              </w:rPr>
              <w:t>Email to Vic - 24 September 2026</w:t>
            </w:r>
          </w:p>
        </w:tc>
        <w:tc>
          <w:tcPr>
            <w:tcW w:type="dxa" w:w="55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7"/>
              </w:rPr>
              <w:t>Supervisor status update confirming no supervisor clarification was required that week and that the client meeting would proceed.</w:t>
            </w:r>
          </w:p>
        </w:tc>
      </w:tr>
      <w:tr>
        <w:trPr>
          <w:cantSplit/>
        </w:trPr>
        <w:tc>
          <w:tcPr>
            <w:tcW w:type="dxa" w:w="48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7"/>
              </w:rPr>
              <w:t>Email to Sam - 25 September 2026</w:t>
            </w:r>
          </w:p>
        </w:tc>
        <w:tc>
          <w:tcPr>
            <w:tcW w:type="dxa" w:w="55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7"/>
              </w:rPr>
              <w:t>Site-level support request for automated/verifiable workshop attendance and OAPA Brand Book theming access.</w:t>
            </w:r>
          </w:p>
        </w:tc>
      </w:tr>
    </w:tbl>
    <w:p>
      <w:pPr>
        <w:spacing w:after="0"/>
      </w:pPr>
    </w:p>
    <w:p>
      <w:pPr>
        <w:pStyle w:val="Heading1"/>
      </w:pPr>
      <w:r>
        <w:t>8. Task 41 acceptance mapping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4320"/>
            <w:shd w:fill="EDEDE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b/>
                <w:sz w:val="16"/>
              </w:rPr>
              <w:t>Task 41 acceptance item</w:t>
            </w:r>
          </w:p>
        </w:tc>
        <w:tc>
          <w:tcPr>
            <w:tcW w:type="dxa" w:w="5328"/>
            <w:shd w:fill="EDEDE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b/>
                <w:sz w:val="16"/>
              </w:rPr>
              <w:t>Evidence in this record</w:t>
            </w:r>
          </w:p>
        </w:tc>
        <w:tc>
          <w:tcPr>
            <w:tcW w:type="dxa" w:w="936"/>
            <w:shd w:fill="EDEDE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Carlito" w:hAnsi="Carlito"/>
                <w:b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6"/>
              </w:rPr>
              <w:t>Review prepared using real Week 1 OAPA implementation evidence.</w:t>
            </w:r>
          </w:p>
        </w:tc>
        <w:tc>
          <w:tcPr>
            <w:tcW w:type="dxa" w:w="53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6"/>
              </w:rPr>
              <w:t>Sections 1-2 use the real development course and Week 2 build evidence as the review baseline.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6"/>
              </w:rPr>
              <w:t>Met</w:t>
            </w:r>
          </w:p>
        </w:tc>
      </w:tr>
      <w:tr>
        <w:trPr>
          <w:cantSplit/>
        </w:trPr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6"/>
              </w:rPr>
              <w:t>Reusable course structure and progression reviewed.</w:t>
            </w:r>
          </w:p>
        </w:tc>
        <w:tc>
          <w:tcPr>
            <w:tcW w:type="dxa" w:w="53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6"/>
              </w:rPr>
              <w:t>Section 2 records the reusable shell and sequential restriction state.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6"/>
              </w:rPr>
              <w:t>Met</w:t>
            </w:r>
          </w:p>
        </w:tc>
      </w:tr>
      <w:tr>
        <w:trPr>
          <w:cantSplit/>
        </w:trPr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6"/>
              </w:rPr>
              <w:t>Workshop and assessment workflow position reviewed.</w:t>
            </w:r>
          </w:p>
        </w:tc>
        <w:tc>
          <w:tcPr>
            <w:tcW w:type="dxa" w:w="53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6"/>
              </w:rPr>
              <w:t>Sections 2-5 capture the two-of-three gate, attendance gap and assessment corrections.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6"/>
              </w:rPr>
              <w:t>Met</w:t>
            </w:r>
          </w:p>
        </w:tc>
      </w:tr>
      <w:tr>
        <w:trPr>
          <w:cantSplit/>
        </w:trPr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6"/>
              </w:rPr>
              <w:t>Learner tracking/self-check position reviewed.</w:t>
            </w:r>
          </w:p>
        </w:tc>
        <w:tc>
          <w:tcPr>
            <w:tcW w:type="dxa" w:w="53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6"/>
              </w:rPr>
              <w:t>Section 2 records progress, native Quiz and H5P status.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6"/>
              </w:rPr>
              <w:t>Met</w:t>
            </w:r>
          </w:p>
        </w:tc>
      </w:tr>
      <w:tr>
        <w:trPr>
          <w:cantSplit/>
        </w:trPr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6"/>
              </w:rPr>
              <w:t>UX and Brand Book position reviewed.</w:t>
            </w:r>
          </w:p>
        </w:tc>
        <w:tc>
          <w:tcPr>
            <w:tcW w:type="dxa" w:w="53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6"/>
              </w:rPr>
              <w:t>Sections 2, 4 and 5 record UX review and site-level branding work.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6"/>
              </w:rPr>
              <w:t>Met</w:t>
            </w:r>
          </w:p>
        </w:tc>
      </w:tr>
      <w:tr>
        <w:trPr>
          <w:cantSplit/>
        </w:trPr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6"/>
              </w:rPr>
              <w:t>Verified functionality separated from unresolved items.</w:t>
            </w:r>
          </w:p>
        </w:tc>
        <w:tc>
          <w:tcPr>
            <w:tcW w:type="dxa" w:w="53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6"/>
              </w:rPr>
              <w:t>Sections 2 and 5 distinguish working behaviour from partial/open items.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6"/>
              </w:rPr>
              <w:t>Met</w:t>
            </w:r>
          </w:p>
        </w:tc>
      </w:tr>
      <w:tr>
        <w:trPr>
          <w:cantSplit/>
        </w:trPr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6"/>
              </w:rPr>
              <w:t>Client/supervisor feedback and decisions recorded.</w:t>
            </w:r>
          </w:p>
        </w:tc>
        <w:tc>
          <w:tcPr>
            <w:tcW w:type="dxa" w:w="53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6"/>
              </w:rPr>
              <w:t>Sections 1, 3 and 4 record the client review and the supervisor status communication.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6"/>
              </w:rPr>
              <w:t>Met</w:t>
            </w:r>
          </w:p>
        </w:tc>
      </w:tr>
      <w:tr>
        <w:trPr>
          <w:cantSplit/>
        </w:trPr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6"/>
              </w:rPr>
              <w:t>Open questions/dependencies identified.</w:t>
            </w:r>
          </w:p>
        </w:tc>
        <w:tc>
          <w:tcPr>
            <w:tcW w:type="dxa" w:w="53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6"/>
              </w:rPr>
              <w:t>Section 5 lists the remaining implementation and site-level dependencies.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6"/>
              </w:rPr>
              <w:t>Met</w:t>
            </w:r>
          </w:p>
        </w:tc>
      </w:tr>
      <w:tr>
        <w:trPr>
          <w:cantSplit/>
        </w:trPr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6"/>
              </w:rPr>
              <w:t>Follow-up actions assigned.</w:t>
            </w:r>
          </w:p>
        </w:tc>
        <w:tc>
          <w:tcPr>
            <w:tcW w:type="dxa" w:w="53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6"/>
              </w:rPr>
              <w:t>Section 6 assigns role-owned follow-up actions.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6"/>
              </w:rPr>
              <w:t>Met</w:t>
            </w:r>
          </w:p>
        </w:tc>
      </w:tr>
      <w:tr>
        <w:trPr>
          <w:cantSplit/>
        </w:trPr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6"/>
              </w:rPr>
              <w:t>Review evidence saved and linked for handoff.</w:t>
            </w:r>
          </w:p>
        </w:tc>
        <w:tc>
          <w:tcPr>
            <w:tcW w:type="dxa" w:w="53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6"/>
              </w:rPr>
              <w:t>Section 7 lists the evidence sources to be linked from the Planner/Git handoff.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20" w:line="240" w:lineRule="auto"/>
            </w:pPr>
            <w:r>
              <w:rPr>
                <w:rFonts w:ascii="Carlito" w:hAnsi="Carlito"/>
                <w:sz w:val="16"/>
              </w:rPr>
              <w:t>Met</w:t>
            </w:r>
          </w:p>
        </w:tc>
      </w:tr>
    </w:tbl>
    <w:p>
      <w:pPr>
        <w:spacing w:after="0"/>
      </w:pPr>
    </w:p>
    <w:p>
      <w:pPr>
        <w:pStyle w:val="Heading1"/>
      </w:pPr>
      <w:r>
        <w:t>9. PM completion statement</w:t>
      </w:r>
    </w:p>
    <w:p>
      <w:r>
        <w:t>Task 41 is complete. The Sprint 2 Week 2 stakeholder build review has been run against the real Academy implementation, the current prototype has been reviewed with the client, and the remaining workflow decisions have been converted into role-owned implementation actions. The project remains within the approved Core MVP scope. The key immediate dependencies are the final workshop-attendance mechanism, alignment of the assessment deadline workflow with the client decision, staff-side reporting verification, and site-level support for OAPA branding/theming.</w:t>
      </w:r>
    </w:p>
    <w:sectPr w:rsidR="00FC693F" w:rsidRPr="0006063C" w:rsidSect="00034616">
      <w:footerReference w:type="default" r:id="rId9"/>
      <w:pgSz w:w="11909" w:h="16834"/>
      <w:pgMar w:top="1037" w:right="1037" w:bottom="103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rlito" w:hAnsi="Carlito"/>
        <w:color w:val="6E6E6E"/>
        <w:sz w:val="16"/>
      </w:rPr>
      <w:t>Team 74 | OAPA Academy Moodle | Sprint 2 Week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Carlito" w:hAnsi="Carlito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rlito" w:hAnsi="Carlito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idenceNote">
    <w:name w:val="Evidence Note"/>
    <w:pPr>
      <w:spacing w:after="100"/>
    </w:pPr>
    <w:rPr>
      <w:rFonts w:ascii="Carlito" w:hAnsi="Carlito"/>
      <w:color w:val="464646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