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C7C1B" w14:textId="77777777" w:rsidR="006E2EF2" w:rsidRPr="00EB6232" w:rsidRDefault="00000000">
      <w:pPr>
        <w:keepNext/>
        <w:spacing w:after="160" w:line="240" w:lineRule="auto"/>
        <w:rPr>
          <w:rFonts w:asciiTheme="majorHAnsi" w:hAnsiTheme="majorHAnsi" w:cstheme="majorHAnsi"/>
        </w:rPr>
      </w:pPr>
      <w:r w:rsidRPr="00EB6232">
        <w:rPr>
          <w:rFonts w:asciiTheme="majorHAnsi" w:hAnsiTheme="majorHAnsi" w:cstheme="majorHAnsi"/>
          <w:sz w:val="40"/>
        </w:rPr>
        <w:t>Project Scope &amp; Constraints Baseline</w:t>
      </w:r>
    </w:p>
    <w:p w14:paraId="4681F8B1" w14:textId="77777777" w:rsidR="006E2EF2" w:rsidRPr="00EB6232" w:rsidRDefault="00000000">
      <w:pPr>
        <w:keepNext/>
        <w:spacing w:after="240" w:line="240" w:lineRule="auto"/>
        <w:rPr>
          <w:rFonts w:asciiTheme="majorHAnsi" w:hAnsiTheme="majorHAnsi" w:cstheme="majorHAnsi"/>
        </w:rPr>
      </w:pPr>
      <w:r w:rsidRPr="00EB6232">
        <w:rPr>
          <w:rFonts w:asciiTheme="majorHAnsi" w:hAnsiTheme="majorHAnsi" w:cstheme="majorHAnsi"/>
          <w:color w:val="5A5A5A"/>
          <w:sz w:val="24"/>
        </w:rPr>
        <w:t>Sprint 1 governance artifact - updated after client alignment, Moodle access and branding confirmation</w:t>
      </w:r>
    </w:p>
    <w:tbl>
      <w:tblPr>
        <w:tblStyle w:val="TableGrid"/>
        <w:tblW w:w="0" w:type="auto"/>
        <w:jc w:val="center"/>
        <w:tblLayout w:type="fixed"/>
        <w:tblLook w:val="04A0" w:firstRow="1" w:lastRow="0" w:firstColumn="1" w:lastColumn="0" w:noHBand="0" w:noVBand="1"/>
      </w:tblPr>
      <w:tblGrid>
        <w:gridCol w:w="1224"/>
        <w:gridCol w:w="3240"/>
        <w:gridCol w:w="1080"/>
        <w:gridCol w:w="3483"/>
      </w:tblGrid>
      <w:tr w:rsidR="006E2EF2" w:rsidRPr="00EB6232" w14:paraId="0EF19D31" w14:textId="77777777">
        <w:trPr>
          <w:cantSplit/>
          <w:jc w:val="center"/>
        </w:trPr>
        <w:tc>
          <w:tcPr>
            <w:tcW w:w="1224" w:type="dxa"/>
            <w:tcMar>
              <w:top w:w="45" w:type="dxa"/>
              <w:left w:w="45" w:type="dxa"/>
              <w:bottom w:w="45" w:type="dxa"/>
              <w:right w:w="45" w:type="dxa"/>
            </w:tcMar>
          </w:tcPr>
          <w:p w14:paraId="032E72D3"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Project</w:t>
            </w:r>
          </w:p>
        </w:tc>
        <w:tc>
          <w:tcPr>
            <w:tcW w:w="3240" w:type="dxa"/>
            <w:tcMar>
              <w:top w:w="45" w:type="dxa"/>
              <w:left w:w="45" w:type="dxa"/>
              <w:bottom w:w="45" w:type="dxa"/>
              <w:right w:w="45" w:type="dxa"/>
            </w:tcMar>
          </w:tcPr>
          <w:p w14:paraId="27F7B7EF"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P000785CSITCP / Group 74 - Team A</w:t>
            </w:r>
          </w:p>
        </w:tc>
        <w:tc>
          <w:tcPr>
            <w:tcW w:w="1080" w:type="dxa"/>
            <w:tcMar>
              <w:top w:w="45" w:type="dxa"/>
              <w:left w:w="45" w:type="dxa"/>
              <w:bottom w:w="45" w:type="dxa"/>
              <w:right w:w="45" w:type="dxa"/>
            </w:tcMar>
          </w:tcPr>
          <w:p w14:paraId="655816E7"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Owner</w:t>
            </w:r>
          </w:p>
        </w:tc>
        <w:tc>
          <w:tcPr>
            <w:tcW w:w="3483" w:type="dxa"/>
            <w:tcMar>
              <w:top w:w="45" w:type="dxa"/>
              <w:left w:w="45" w:type="dxa"/>
              <w:bottom w:w="45" w:type="dxa"/>
              <w:right w:w="45" w:type="dxa"/>
            </w:tcMar>
          </w:tcPr>
          <w:p w14:paraId="7F738CE8"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Aryan Rajendra - Project Manager</w:t>
            </w:r>
          </w:p>
        </w:tc>
      </w:tr>
      <w:tr w:rsidR="006E2EF2" w:rsidRPr="00EB6232" w14:paraId="4A3DEF49" w14:textId="77777777">
        <w:trPr>
          <w:cantSplit/>
          <w:jc w:val="center"/>
        </w:trPr>
        <w:tc>
          <w:tcPr>
            <w:tcW w:w="1224" w:type="dxa"/>
            <w:tcMar>
              <w:top w:w="45" w:type="dxa"/>
              <w:left w:w="45" w:type="dxa"/>
              <w:bottom w:w="45" w:type="dxa"/>
              <w:right w:w="45" w:type="dxa"/>
            </w:tcMar>
          </w:tcPr>
          <w:p w14:paraId="66280C7B"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Status</w:t>
            </w:r>
          </w:p>
        </w:tc>
        <w:tc>
          <w:tcPr>
            <w:tcW w:w="3240" w:type="dxa"/>
            <w:tcMar>
              <w:top w:w="45" w:type="dxa"/>
              <w:left w:w="45" w:type="dxa"/>
              <w:bottom w:w="45" w:type="dxa"/>
              <w:right w:w="45" w:type="dxa"/>
            </w:tcMar>
          </w:tcPr>
          <w:p w14:paraId="2973C6EB"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Updated / ready for team use</w:t>
            </w:r>
          </w:p>
        </w:tc>
        <w:tc>
          <w:tcPr>
            <w:tcW w:w="1080" w:type="dxa"/>
            <w:tcMar>
              <w:top w:w="45" w:type="dxa"/>
              <w:left w:w="45" w:type="dxa"/>
              <w:bottom w:w="45" w:type="dxa"/>
              <w:right w:w="45" w:type="dxa"/>
            </w:tcMar>
          </w:tcPr>
          <w:p w14:paraId="59A2DEFD"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Current as of</w:t>
            </w:r>
          </w:p>
        </w:tc>
        <w:tc>
          <w:tcPr>
            <w:tcW w:w="3483" w:type="dxa"/>
            <w:tcMar>
              <w:top w:w="45" w:type="dxa"/>
              <w:left w:w="45" w:type="dxa"/>
              <w:bottom w:w="45" w:type="dxa"/>
              <w:right w:w="45" w:type="dxa"/>
            </w:tcMar>
          </w:tcPr>
          <w:p w14:paraId="585183E6"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5 September 2026</w:t>
            </w:r>
          </w:p>
        </w:tc>
      </w:tr>
    </w:tbl>
    <w:p w14:paraId="4511B077" w14:textId="77777777" w:rsidR="006E2EF2" w:rsidRPr="00EB6232" w:rsidRDefault="006E2EF2">
      <w:pPr>
        <w:rPr>
          <w:rFonts w:asciiTheme="majorHAnsi" w:hAnsiTheme="majorHAnsi" w:cstheme="majorHAnsi"/>
        </w:rPr>
      </w:pPr>
    </w:p>
    <w:p w14:paraId="52ABA31D" w14:textId="77777777" w:rsidR="006E2EF2" w:rsidRPr="00EB6232" w:rsidRDefault="00000000">
      <w:pPr>
        <w:pStyle w:val="Heading1"/>
        <w:spacing w:line="240" w:lineRule="auto"/>
        <w:rPr>
          <w:rFonts w:cstheme="majorHAnsi"/>
        </w:rPr>
      </w:pPr>
      <w:r w:rsidRPr="00EB6232">
        <w:rPr>
          <w:rFonts w:cstheme="majorHAnsi"/>
        </w:rPr>
        <w:t>Source basis and precedence</w:t>
      </w:r>
    </w:p>
    <w:p w14:paraId="1D9D803B" w14:textId="77777777" w:rsidR="006E2EF2" w:rsidRPr="00EB6232" w:rsidRDefault="00000000">
      <w:pPr>
        <w:spacing w:line="300" w:lineRule="auto"/>
        <w:rPr>
          <w:rFonts w:asciiTheme="majorHAnsi" w:hAnsiTheme="majorHAnsi" w:cstheme="majorHAnsi"/>
        </w:rPr>
      </w:pPr>
      <w:r w:rsidRPr="00EB6232">
        <w:rPr>
          <w:rFonts w:asciiTheme="majorHAnsi" w:hAnsiTheme="majorHAnsi" w:cstheme="majorHAnsi"/>
        </w:rPr>
        <w:t>This artifact consolidates the latest confirmed project evidence and replaces older access-dependent assumptions where the position has now been verified. The working source order is</w:t>
      </w:r>
    </w:p>
    <w:p w14:paraId="3E4D121A" w14:textId="77777777" w:rsidR="006E2EF2" w:rsidRPr="00EB6232" w:rsidRDefault="00000000">
      <w:pPr>
        <w:pStyle w:val="ListNumber"/>
        <w:spacing w:after="40"/>
        <w:rPr>
          <w:rFonts w:asciiTheme="majorHAnsi" w:hAnsiTheme="majorHAnsi" w:cstheme="majorHAnsi"/>
        </w:rPr>
      </w:pPr>
      <w:r w:rsidRPr="00EB6232">
        <w:rPr>
          <w:rFonts w:asciiTheme="majorHAnsi" w:hAnsiTheme="majorHAnsi" w:cstheme="majorHAnsi"/>
        </w:rPr>
        <w:t>Latest client-provided OAPA Moodle Platform Development Brief for target platform capabilities, learner-cycle requirements and open technical decisions.</w:t>
      </w:r>
    </w:p>
    <w:p w14:paraId="2DBC51E7" w14:textId="77777777" w:rsidR="006E2EF2" w:rsidRPr="00EB6232" w:rsidRDefault="00000000">
      <w:pPr>
        <w:pStyle w:val="ListNumber"/>
        <w:spacing w:after="40"/>
        <w:rPr>
          <w:rFonts w:asciiTheme="majorHAnsi" w:hAnsiTheme="majorHAnsi" w:cstheme="majorHAnsi"/>
        </w:rPr>
      </w:pPr>
      <w:r w:rsidRPr="00EB6232">
        <w:rPr>
          <w:rFonts w:asciiTheme="majorHAnsi" w:hAnsiTheme="majorHAnsi" w:cstheme="majorHAnsi"/>
        </w:rPr>
        <w:t>Client alignment meeting with Professor Michael Cowling and Jo-Anne Kelder on 24 August 2026 for the current project direction, new-versus-legacy Moodle boundary, reusable-template goal and learner-cycle clarifications.</w:t>
      </w:r>
    </w:p>
    <w:p w14:paraId="2C9ED852" w14:textId="77777777" w:rsidR="006E2EF2" w:rsidRPr="00EB6232" w:rsidRDefault="00000000">
      <w:pPr>
        <w:pStyle w:val="ListNumber"/>
        <w:spacing w:after="40"/>
        <w:rPr>
          <w:rFonts w:asciiTheme="majorHAnsi" w:hAnsiTheme="majorHAnsi" w:cstheme="majorHAnsi"/>
        </w:rPr>
      </w:pPr>
      <w:r w:rsidRPr="00EB6232">
        <w:rPr>
          <w:rFonts w:asciiTheme="majorHAnsi" w:hAnsiTheme="majorHAnsi" w:cstheme="majorHAnsi"/>
        </w:rPr>
        <w:t>First client meeting with Darryl Clare on 11 August 2026 for the original learner-experience focus, access approach, content ownership and Team 74 delivery boundary.</w:t>
      </w:r>
    </w:p>
    <w:p w14:paraId="64DD8D9D" w14:textId="77777777" w:rsidR="006E2EF2" w:rsidRPr="00EB6232" w:rsidRDefault="00000000">
      <w:pPr>
        <w:pStyle w:val="ListNumber"/>
        <w:spacing w:after="40"/>
        <w:rPr>
          <w:rFonts w:asciiTheme="majorHAnsi" w:hAnsiTheme="majorHAnsi" w:cstheme="majorHAnsi"/>
        </w:rPr>
      </w:pPr>
      <w:r w:rsidRPr="00EB6232">
        <w:rPr>
          <w:rFonts w:asciiTheme="majorHAnsi" w:hAnsiTheme="majorHAnsi" w:cstheme="majorHAnsi"/>
        </w:rPr>
        <w:t>Team 74 Sprint 1 plan, Week 1 artifacts and the Client Meeting Alignment and Team Understanding document for role alignment and evidence traceability.</w:t>
      </w:r>
    </w:p>
    <w:p w14:paraId="228EB959" w14:textId="77777777" w:rsidR="006E2EF2" w:rsidRPr="00EB6232" w:rsidRDefault="00000000">
      <w:pPr>
        <w:pStyle w:val="ListNumber"/>
        <w:spacing w:after="40"/>
        <w:rPr>
          <w:rFonts w:asciiTheme="majorHAnsi" w:hAnsiTheme="majorHAnsi" w:cstheme="majorHAnsi"/>
        </w:rPr>
      </w:pPr>
      <w:r w:rsidRPr="00EB6232">
        <w:rPr>
          <w:rFonts w:asciiTheme="majorHAnsi" w:hAnsiTheme="majorHAnsi" w:cstheme="majorHAnsi"/>
        </w:rPr>
        <w:t>Latest communications through 5 September 2026 for current Academy access, old Moodle reference access, branding guidance, client continuity, supervisor governance and review scheduling.</w:t>
      </w:r>
    </w:p>
    <w:tbl>
      <w:tblPr>
        <w:tblStyle w:val="TableGrid"/>
        <w:tblW w:w="0" w:type="auto"/>
        <w:jc w:val="center"/>
        <w:tblLayout w:type="fixed"/>
        <w:tblLook w:val="04A0" w:firstRow="1" w:lastRow="0" w:firstColumn="1" w:lastColumn="0" w:noHBand="0" w:noVBand="1"/>
      </w:tblPr>
      <w:tblGrid>
        <w:gridCol w:w="9027"/>
      </w:tblGrid>
      <w:tr w:rsidR="006E2EF2" w:rsidRPr="00EB6232" w14:paraId="590B77D3" w14:textId="77777777">
        <w:trPr>
          <w:cantSplit/>
          <w:jc w:val="center"/>
        </w:trPr>
        <w:tc>
          <w:tcPr>
            <w:tcW w:w="9027" w:type="dxa"/>
            <w:tcMar>
              <w:top w:w="55" w:type="dxa"/>
              <w:left w:w="55" w:type="dxa"/>
              <w:bottom w:w="55" w:type="dxa"/>
              <w:right w:w="55" w:type="dxa"/>
            </w:tcMar>
          </w:tcPr>
          <w:p w14:paraId="586941BB"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20"/>
              </w:rPr>
              <w:t>Governance rule</w:t>
            </w:r>
            <w:r w:rsidRPr="00EB6232">
              <w:rPr>
                <w:rFonts w:asciiTheme="majorHAnsi" w:hAnsiTheme="majorHAnsi" w:cstheme="majorHAnsi"/>
                <w:sz w:val="20"/>
              </w:rPr>
              <w:br/>
              <w:t>Confirmed client decisions replace older assumptions. Broader target-state requirements are still not automatically converted into Team 74 implementation commitments. The exact Sprint 2 Core MVP must be approved through Sprint 1 review and playback before full implementation effort is committed.</w:t>
            </w:r>
          </w:p>
        </w:tc>
      </w:tr>
    </w:tbl>
    <w:p w14:paraId="2800D224" w14:textId="77777777" w:rsidR="006E2EF2" w:rsidRPr="00EB6232" w:rsidRDefault="006E2EF2">
      <w:pPr>
        <w:spacing w:after="0"/>
        <w:rPr>
          <w:rFonts w:asciiTheme="majorHAnsi" w:hAnsiTheme="majorHAnsi" w:cstheme="majorHAnsi"/>
        </w:rPr>
      </w:pPr>
    </w:p>
    <w:p w14:paraId="428A658D" w14:textId="77777777" w:rsidR="006E2EF2" w:rsidRPr="00EB6232" w:rsidRDefault="00000000">
      <w:pPr>
        <w:pStyle w:val="Heading1"/>
        <w:spacing w:line="240" w:lineRule="auto"/>
        <w:rPr>
          <w:rFonts w:cstheme="majorHAnsi"/>
        </w:rPr>
      </w:pPr>
      <w:r w:rsidRPr="00EB6232">
        <w:rPr>
          <w:rFonts w:cstheme="majorHAnsi"/>
        </w:rPr>
        <w:t>1. Confirmed project purpose</w:t>
      </w:r>
    </w:p>
    <w:p w14:paraId="5266AE15" w14:textId="77777777" w:rsidR="006E2EF2" w:rsidRPr="00EB6232" w:rsidRDefault="00000000">
      <w:pPr>
        <w:spacing w:line="300" w:lineRule="auto"/>
        <w:rPr>
          <w:rFonts w:asciiTheme="majorHAnsi" w:hAnsiTheme="majorHAnsi" w:cstheme="majorHAnsi"/>
        </w:rPr>
      </w:pPr>
      <w:r w:rsidRPr="00EB6232">
        <w:rPr>
          <w:rFonts w:asciiTheme="majorHAnsi" w:hAnsiTheme="majorHAnsi" w:cstheme="majorHAnsi"/>
        </w:rPr>
        <w:t>Team 74 is working on the new OAPA Academy Moodle environment to create a clearer learner experience and a reusable course framework that can reduce the effort required to build future OAPA courses. The client has already established the Moodle instance, so the project is not an LMS setup or backend-rebuild project. The current priority is to make the Academy easier for learners to navigate and easier for future content experts to populate without rebuilding the course framework from scratch.</w:t>
      </w:r>
    </w:p>
    <w:p w14:paraId="48314FFE" w14:textId="77777777" w:rsidR="006E2EF2" w:rsidRPr="00EB6232" w:rsidRDefault="00000000">
      <w:pPr>
        <w:spacing w:line="300" w:lineRule="auto"/>
        <w:rPr>
          <w:rFonts w:asciiTheme="majorHAnsi" w:hAnsiTheme="majorHAnsi" w:cstheme="majorHAnsi"/>
        </w:rPr>
      </w:pPr>
      <w:r w:rsidRPr="00EB6232">
        <w:rPr>
          <w:rFonts w:asciiTheme="majorHAnsi" w:hAnsiTheme="majorHAnsi" w:cstheme="majorHAnsi"/>
        </w:rPr>
        <w:t>The agreed direction combines learner-facing UX, reusable course structure, progression rules, workshops, assessment, learner tracking, branding and configurable interactive activities. The longer-term Academy may support multiple graduate-certificate courses, higher-level courses and shorter micro-credentials, but Team 74 will deliver only the agreed capstone slice rather than the whole future programme.</w:t>
      </w:r>
    </w:p>
    <w:p w14:paraId="26D6A07C" w14:textId="77777777" w:rsidR="006E2EF2" w:rsidRPr="00EB6232" w:rsidRDefault="00000000">
      <w:pPr>
        <w:pStyle w:val="Heading1"/>
        <w:spacing w:line="240" w:lineRule="auto"/>
        <w:rPr>
          <w:rFonts w:cstheme="majorHAnsi"/>
        </w:rPr>
      </w:pPr>
      <w:r w:rsidRPr="00EB6232">
        <w:rPr>
          <w:rFonts w:cstheme="majorHAnsi"/>
        </w:rPr>
        <w:t>2. Confirmed Team 74 scope</w:t>
      </w:r>
    </w:p>
    <w:tbl>
      <w:tblPr>
        <w:tblStyle w:val="TableGrid"/>
        <w:tblW w:w="0" w:type="auto"/>
        <w:jc w:val="center"/>
        <w:tblLayout w:type="fixed"/>
        <w:tblLook w:val="04A0" w:firstRow="1" w:lastRow="0" w:firstColumn="1" w:lastColumn="0" w:noHBand="0" w:noVBand="1"/>
      </w:tblPr>
      <w:tblGrid>
        <w:gridCol w:w="3008"/>
        <w:gridCol w:w="5400"/>
        <w:gridCol w:w="3008"/>
      </w:tblGrid>
      <w:tr w:rsidR="006E2EF2" w:rsidRPr="00EB6232" w14:paraId="43271A0E" w14:textId="77777777">
        <w:trPr>
          <w:cantSplit/>
          <w:tblHeader/>
          <w:jc w:val="center"/>
        </w:trPr>
        <w:tc>
          <w:tcPr>
            <w:tcW w:w="1944" w:type="dxa"/>
            <w:tcMar>
              <w:top w:w="45" w:type="dxa"/>
              <w:left w:w="45" w:type="dxa"/>
              <w:bottom w:w="45" w:type="dxa"/>
              <w:right w:w="45" w:type="dxa"/>
            </w:tcMar>
          </w:tcPr>
          <w:p w14:paraId="12D78D64"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Scope area</w:t>
            </w:r>
          </w:p>
        </w:tc>
        <w:tc>
          <w:tcPr>
            <w:tcW w:w="5400" w:type="dxa"/>
            <w:tcMar>
              <w:top w:w="45" w:type="dxa"/>
              <w:left w:w="45" w:type="dxa"/>
              <w:bottom w:w="45" w:type="dxa"/>
              <w:right w:w="45" w:type="dxa"/>
            </w:tcMar>
          </w:tcPr>
          <w:p w14:paraId="7257EEB8"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Team 74 treatment</w:t>
            </w:r>
          </w:p>
        </w:tc>
        <w:tc>
          <w:tcPr>
            <w:tcW w:w="1683" w:type="dxa"/>
            <w:tcMar>
              <w:top w:w="45" w:type="dxa"/>
              <w:left w:w="45" w:type="dxa"/>
              <w:bottom w:w="45" w:type="dxa"/>
              <w:right w:w="45" w:type="dxa"/>
            </w:tcMar>
          </w:tcPr>
          <w:p w14:paraId="326E0E4B"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Status</w:t>
            </w:r>
          </w:p>
        </w:tc>
      </w:tr>
      <w:tr w:rsidR="006E2EF2" w:rsidRPr="00EB6232" w14:paraId="609E47EF" w14:textId="77777777">
        <w:trPr>
          <w:cantSplit/>
          <w:jc w:val="center"/>
        </w:trPr>
        <w:tc>
          <w:tcPr>
            <w:tcW w:w="3008" w:type="dxa"/>
            <w:tcMar>
              <w:top w:w="45" w:type="dxa"/>
              <w:left w:w="45" w:type="dxa"/>
              <w:bottom w:w="45" w:type="dxa"/>
              <w:right w:w="45" w:type="dxa"/>
            </w:tcMar>
          </w:tcPr>
          <w:p w14:paraId="4E1F5783"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lastRenderedPageBreak/>
              <w:t>Implementation environment</w:t>
            </w:r>
          </w:p>
        </w:tc>
        <w:tc>
          <w:tcPr>
            <w:tcW w:w="3008" w:type="dxa"/>
            <w:tcMar>
              <w:top w:w="45" w:type="dxa"/>
              <w:left w:w="45" w:type="dxa"/>
              <w:bottom w:w="45" w:type="dxa"/>
              <w:right w:w="45" w:type="dxa"/>
            </w:tcMar>
          </w:tcPr>
          <w:p w14:paraId="236D20EC"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Work on the new OAPA Academy Moodle. It is the target environment for redesign, configuration, proof-of-concept work and later Core MVP implementation.</w:t>
            </w:r>
          </w:p>
        </w:tc>
        <w:tc>
          <w:tcPr>
            <w:tcW w:w="3008" w:type="dxa"/>
            <w:tcMar>
              <w:top w:w="45" w:type="dxa"/>
              <w:left w:w="45" w:type="dxa"/>
              <w:bottom w:w="45" w:type="dxa"/>
              <w:right w:w="45" w:type="dxa"/>
            </w:tcMar>
          </w:tcPr>
          <w:p w14:paraId="2C94B987"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Confirmed</w:t>
            </w:r>
          </w:p>
        </w:tc>
      </w:tr>
      <w:tr w:rsidR="006E2EF2" w:rsidRPr="00EB6232" w14:paraId="6232AE9C" w14:textId="77777777">
        <w:trPr>
          <w:cantSplit/>
          <w:jc w:val="center"/>
        </w:trPr>
        <w:tc>
          <w:tcPr>
            <w:tcW w:w="3008" w:type="dxa"/>
            <w:tcMar>
              <w:top w:w="45" w:type="dxa"/>
              <w:left w:w="45" w:type="dxa"/>
              <w:bottom w:w="45" w:type="dxa"/>
              <w:right w:w="45" w:type="dxa"/>
            </w:tcMar>
          </w:tcPr>
          <w:p w14:paraId="333A7823"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Legacy Moodle</w:t>
            </w:r>
          </w:p>
        </w:tc>
        <w:tc>
          <w:tcPr>
            <w:tcW w:w="3008" w:type="dxa"/>
            <w:tcMar>
              <w:top w:w="45" w:type="dxa"/>
              <w:left w:w="45" w:type="dxa"/>
              <w:bottom w:w="45" w:type="dxa"/>
              <w:right w:w="45" w:type="dxa"/>
            </w:tcMar>
          </w:tcPr>
          <w:p w14:paraId="651FA829"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Use the old Moodle only as a reference for existing course structure, content patterns and useful plugins. Reference access has now been received. Do not redesign or alter the legacy platform.</w:t>
            </w:r>
          </w:p>
        </w:tc>
        <w:tc>
          <w:tcPr>
            <w:tcW w:w="3008" w:type="dxa"/>
            <w:tcMar>
              <w:top w:w="45" w:type="dxa"/>
              <w:left w:w="45" w:type="dxa"/>
              <w:bottom w:w="45" w:type="dxa"/>
              <w:right w:w="45" w:type="dxa"/>
            </w:tcMar>
          </w:tcPr>
          <w:p w14:paraId="0A8317BF"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Confirmed boundary / access verified</w:t>
            </w:r>
          </w:p>
        </w:tc>
      </w:tr>
      <w:tr w:rsidR="006E2EF2" w:rsidRPr="00EB6232" w14:paraId="541094D0" w14:textId="77777777">
        <w:trPr>
          <w:cantSplit/>
          <w:jc w:val="center"/>
        </w:trPr>
        <w:tc>
          <w:tcPr>
            <w:tcW w:w="3008" w:type="dxa"/>
            <w:tcMar>
              <w:top w:w="45" w:type="dxa"/>
              <w:left w:w="45" w:type="dxa"/>
              <w:bottom w:w="45" w:type="dxa"/>
              <w:right w:w="45" w:type="dxa"/>
            </w:tcMar>
          </w:tcPr>
          <w:p w14:paraId="4D6187AA"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Reusable course template</w:t>
            </w:r>
          </w:p>
        </w:tc>
        <w:tc>
          <w:tcPr>
            <w:tcW w:w="3008" w:type="dxa"/>
            <w:tcMar>
              <w:top w:w="45" w:type="dxa"/>
              <w:left w:w="45" w:type="dxa"/>
              <w:bottom w:w="45" w:type="dxa"/>
              <w:right w:w="45" w:type="dxa"/>
            </w:tcMar>
          </w:tcPr>
          <w:p w14:paraId="319E5B4D"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Design and validate a reusable branded course framework so future content experts can insert learning content into a prepared structure rather than rebuild Moodle activities and navigation each time.</w:t>
            </w:r>
          </w:p>
        </w:tc>
        <w:tc>
          <w:tcPr>
            <w:tcW w:w="3008" w:type="dxa"/>
            <w:tcMar>
              <w:top w:w="45" w:type="dxa"/>
              <w:left w:w="45" w:type="dxa"/>
              <w:bottom w:w="45" w:type="dxa"/>
              <w:right w:w="45" w:type="dxa"/>
            </w:tcMar>
          </w:tcPr>
          <w:p w14:paraId="23216AF2"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Primary direction</w:t>
            </w:r>
          </w:p>
        </w:tc>
      </w:tr>
      <w:tr w:rsidR="006E2EF2" w:rsidRPr="00EB6232" w14:paraId="1B128E65" w14:textId="77777777">
        <w:trPr>
          <w:cantSplit/>
          <w:jc w:val="center"/>
        </w:trPr>
        <w:tc>
          <w:tcPr>
            <w:tcW w:w="3008" w:type="dxa"/>
            <w:tcMar>
              <w:top w:w="45" w:type="dxa"/>
              <w:left w:w="45" w:type="dxa"/>
              <w:bottom w:w="45" w:type="dxa"/>
              <w:right w:w="45" w:type="dxa"/>
            </w:tcMar>
          </w:tcPr>
          <w:p w14:paraId="1B29D3AB"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Standard course cycle</w:t>
            </w:r>
          </w:p>
        </w:tc>
        <w:tc>
          <w:tcPr>
            <w:tcW w:w="3008" w:type="dxa"/>
            <w:tcMar>
              <w:top w:w="45" w:type="dxa"/>
              <w:left w:w="45" w:type="dxa"/>
              <w:bottom w:w="45" w:type="dxa"/>
              <w:right w:w="45" w:type="dxa"/>
            </w:tcMar>
          </w:tcPr>
          <w:p w14:paraId="2EAA1460"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Represent the standard course as three sequential asynchronous modules, each followed by an interactive workshop, then a fourth assessment phase.</w:t>
            </w:r>
          </w:p>
        </w:tc>
        <w:tc>
          <w:tcPr>
            <w:tcW w:w="3008" w:type="dxa"/>
            <w:tcMar>
              <w:top w:w="45" w:type="dxa"/>
              <w:left w:w="45" w:type="dxa"/>
              <w:bottom w:w="45" w:type="dxa"/>
              <w:right w:w="45" w:type="dxa"/>
            </w:tcMar>
          </w:tcPr>
          <w:p w14:paraId="4DDC64C4"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Confirmed</w:t>
            </w:r>
          </w:p>
        </w:tc>
      </w:tr>
      <w:tr w:rsidR="006E2EF2" w:rsidRPr="00EB6232" w14:paraId="57680678" w14:textId="77777777">
        <w:trPr>
          <w:cantSplit/>
          <w:jc w:val="center"/>
        </w:trPr>
        <w:tc>
          <w:tcPr>
            <w:tcW w:w="3008" w:type="dxa"/>
            <w:tcMar>
              <w:top w:w="45" w:type="dxa"/>
              <w:left w:w="45" w:type="dxa"/>
              <w:bottom w:w="45" w:type="dxa"/>
              <w:right w:w="45" w:type="dxa"/>
            </w:tcMar>
          </w:tcPr>
          <w:p w14:paraId="31ED6E57"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Sequential progression</w:t>
            </w:r>
          </w:p>
        </w:tc>
        <w:tc>
          <w:tcPr>
            <w:tcW w:w="3008" w:type="dxa"/>
            <w:tcMar>
              <w:top w:w="45" w:type="dxa"/>
              <w:left w:w="45" w:type="dxa"/>
              <w:bottom w:w="45" w:type="dxa"/>
              <w:right w:w="45" w:type="dxa"/>
            </w:tcMar>
          </w:tcPr>
          <w:p w14:paraId="7CAEDB8A"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Learners must complete Module 1 before Module 2 and continue through the sequence using clear completion and progression rules.</w:t>
            </w:r>
          </w:p>
        </w:tc>
        <w:tc>
          <w:tcPr>
            <w:tcW w:w="3008" w:type="dxa"/>
            <w:tcMar>
              <w:top w:w="45" w:type="dxa"/>
              <w:left w:w="45" w:type="dxa"/>
              <w:bottom w:w="45" w:type="dxa"/>
              <w:right w:w="45" w:type="dxa"/>
            </w:tcMar>
          </w:tcPr>
          <w:p w14:paraId="5B293877"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Confirmed requirement</w:t>
            </w:r>
          </w:p>
        </w:tc>
      </w:tr>
      <w:tr w:rsidR="006E2EF2" w:rsidRPr="00EB6232" w14:paraId="3D539771" w14:textId="77777777">
        <w:trPr>
          <w:cantSplit/>
          <w:jc w:val="center"/>
        </w:trPr>
        <w:tc>
          <w:tcPr>
            <w:tcW w:w="3008" w:type="dxa"/>
            <w:tcMar>
              <w:top w:w="45" w:type="dxa"/>
              <w:left w:w="45" w:type="dxa"/>
              <w:bottom w:w="45" w:type="dxa"/>
              <w:right w:w="45" w:type="dxa"/>
            </w:tcMar>
          </w:tcPr>
          <w:p w14:paraId="4CCD103F"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Workshop and assessment gating</w:t>
            </w:r>
          </w:p>
        </w:tc>
        <w:tc>
          <w:tcPr>
            <w:tcW w:w="3008" w:type="dxa"/>
            <w:tcMar>
              <w:top w:w="45" w:type="dxa"/>
              <w:left w:w="45" w:type="dxa"/>
              <w:bottom w:w="45" w:type="dxa"/>
              <w:right w:w="45" w:type="dxa"/>
            </w:tcMar>
          </w:tcPr>
          <w:p w14:paraId="71F514E1"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Assessment access must reflect the client rule that learners need to attend at least two of the three workshops before completing the credential assessment.</w:t>
            </w:r>
          </w:p>
        </w:tc>
        <w:tc>
          <w:tcPr>
            <w:tcW w:w="3008" w:type="dxa"/>
            <w:tcMar>
              <w:top w:w="45" w:type="dxa"/>
              <w:left w:w="45" w:type="dxa"/>
              <w:bottom w:w="45" w:type="dxa"/>
              <w:right w:w="45" w:type="dxa"/>
            </w:tcMar>
          </w:tcPr>
          <w:p w14:paraId="622EED54"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Confirmed requirement</w:t>
            </w:r>
          </w:p>
        </w:tc>
      </w:tr>
      <w:tr w:rsidR="006E2EF2" w:rsidRPr="00EB6232" w14:paraId="0CC9385E" w14:textId="77777777">
        <w:trPr>
          <w:cantSplit/>
          <w:jc w:val="center"/>
        </w:trPr>
        <w:tc>
          <w:tcPr>
            <w:tcW w:w="3008" w:type="dxa"/>
            <w:tcMar>
              <w:top w:w="45" w:type="dxa"/>
              <w:left w:w="45" w:type="dxa"/>
              <w:bottom w:w="45" w:type="dxa"/>
              <w:right w:w="45" w:type="dxa"/>
            </w:tcMar>
          </w:tcPr>
          <w:p w14:paraId="4AE5A16B"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Self-directed learning</w:t>
            </w:r>
          </w:p>
        </w:tc>
        <w:tc>
          <w:tcPr>
            <w:tcW w:w="3008" w:type="dxa"/>
            <w:tcMar>
              <w:top w:w="45" w:type="dxa"/>
              <w:left w:w="45" w:type="dxa"/>
              <w:bottom w:w="45" w:type="dxa"/>
              <w:right w:w="45" w:type="dxa"/>
            </w:tcMar>
          </w:tcPr>
          <w:p w14:paraId="666E57C4"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Support a primarily self-directed Moodle experience, with facilitators interacting mainly through workshops and other planned learning activities rather than continuous course-facilitator contact.</w:t>
            </w:r>
          </w:p>
        </w:tc>
        <w:tc>
          <w:tcPr>
            <w:tcW w:w="3008" w:type="dxa"/>
            <w:tcMar>
              <w:top w:w="45" w:type="dxa"/>
              <w:left w:w="45" w:type="dxa"/>
              <w:bottom w:w="45" w:type="dxa"/>
              <w:right w:w="45" w:type="dxa"/>
            </w:tcMar>
          </w:tcPr>
          <w:p w14:paraId="3229E880"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Confirmed direction</w:t>
            </w:r>
          </w:p>
        </w:tc>
      </w:tr>
      <w:tr w:rsidR="006E2EF2" w:rsidRPr="00EB6232" w14:paraId="2554B0A6" w14:textId="77777777">
        <w:trPr>
          <w:cantSplit/>
          <w:jc w:val="center"/>
        </w:trPr>
        <w:tc>
          <w:tcPr>
            <w:tcW w:w="3008" w:type="dxa"/>
            <w:tcMar>
              <w:top w:w="45" w:type="dxa"/>
              <w:left w:w="45" w:type="dxa"/>
              <w:bottom w:w="45" w:type="dxa"/>
              <w:right w:w="45" w:type="dxa"/>
            </w:tcMar>
          </w:tcPr>
          <w:p w14:paraId="1E8414AA"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Learner journey and information architecture</w:t>
            </w:r>
          </w:p>
        </w:tc>
        <w:tc>
          <w:tcPr>
            <w:tcW w:w="3008" w:type="dxa"/>
            <w:tcMar>
              <w:top w:w="45" w:type="dxa"/>
              <w:left w:w="45" w:type="dxa"/>
              <w:bottom w:w="45" w:type="dxa"/>
              <w:right w:w="45" w:type="dxa"/>
            </w:tcMar>
          </w:tcPr>
          <w:p w14:paraId="4C197F2B"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Define clear course entry, navigation, return paths, progress visibility and consistent placement of learning, workshop and assessment activities.</w:t>
            </w:r>
          </w:p>
        </w:tc>
        <w:tc>
          <w:tcPr>
            <w:tcW w:w="3008" w:type="dxa"/>
            <w:tcMar>
              <w:top w:w="45" w:type="dxa"/>
              <w:left w:w="45" w:type="dxa"/>
              <w:bottom w:w="45" w:type="dxa"/>
              <w:right w:w="45" w:type="dxa"/>
            </w:tcMar>
          </w:tcPr>
          <w:p w14:paraId="0930846B"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Confirmed</w:t>
            </w:r>
          </w:p>
        </w:tc>
      </w:tr>
      <w:tr w:rsidR="006E2EF2" w:rsidRPr="00EB6232" w14:paraId="578F73D5" w14:textId="77777777">
        <w:trPr>
          <w:cantSplit/>
          <w:jc w:val="center"/>
        </w:trPr>
        <w:tc>
          <w:tcPr>
            <w:tcW w:w="3008" w:type="dxa"/>
            <w:tcMar>
              <w:top w:w="45" w:type="dxa"/>
              <w:left w:w="45" w:type="dxa"/>
              <w:bottom w:w="45" w:type="dxa"/>
              <w:right w:w="45" w:type="dxa"/>
            </w:tcMar>
          </w:tcPr>
          <w:p w14:paraId="3D09977D"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UX and OAPA branding</w:t>
            </w:r>
          </w:p>
        </w:tc>
        <w:tc>
          <w:tcPr>
            <w:tcW w:w="3008" w:type="dxa"/>
            <w:tcMar>
              <w:top w:w="45" w:type="dxa"/>
              <w:left w:w="45" w:type="dxa"/>
              <w:bottom w:w="45" w:type="dxa"/>
              <w:right w:w="45" w:type="dxa"/>
            </w:tcMar>
          </w:tcPr>
          <w:p w14:paraId="34055F51"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Apply the OAPA Brand Book where learner-facing visual decisions are made, especially in UX design and the reusable course-template direction.</w:t>
            </w:r>
          </w:p>
        </w:tc>
        <w:tc>
          <w:tcPr>
            <w:tcW w:w="3008" w:type="dxa"/>
            <w:tcMar>
              <w:top w:w="45" w:type="dxa"/>
              <w:left w:w="45" w:type="dxa"/>
              <w:bottom w:w="45" w:type="dxa"/>
              <w:right w:w="45" w:type="dxa"/>
            </w:tcMar>
          </w:tcPr>
          <w:p w14:paraId="4D267626"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Confirmed</w:t>
            </w:r>
          </w:p>
        </w:tc>
      </w:tr>
      <w:tr w:rsidR="006E2EF2" w:rsidRPr="00EB6232" w14:paraId="547D5B96" w14:textId="77777777">
        <w:trPr>
          <w:cantSplit/>
          <w:jc w:val="center"/>
        </w:trPr>
        <w:tc>
          <w:tcPr>
            <w:tcW w:w="3008" w:type="dxa"/>
            <w:tcMar>
              <w:top w:w="45" w:type="dxa"/>
              <w:left w:w="45" w:type="dxa"/>
              <w:bottom w:w="45" w:type="dxa"/>
              <w:right w:w="45" w:type="dxa"/>
            </w:tcMar>
          </w:tcPr>
          <w:p w14:paraId="355B9F07"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Interactive learning</w:t>
            </w:r>
          </w:p>
        </w:tc>
        <w:tc>
          <w:tcPr>
            <w:tcW w:w="3008" w:type="dxa"/>
            <w:tcMar>
              <w:top w:w="45" w:type="dxa"/>
              <w:left w:w="45" w:type="dxa"/>
              <w:bottom w:w="45" w:type="dxa"/>
              <w:right w:w="45" w:type="dxa"/>
            </w:tcMar>
          </w:tcPr>
          <w:p w14:paraId="16F0918F"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Investigate H5P and other suitable Moodle activities as reusable options for self-checks and engagement. H5P remains optional unless its value and compatibility are confirmed.</w:t>
            </w:r>
          </w:p>
        </w:tc>
        <w:tc>
          <w:tcPr>
            <w:tcW w:w="3008" w:type="dxa"/>
            <w:tcMar>
              <w:top w:w="45" w:type="dxa"/>
              <w:left w:w="45" w:type="dxa"/>
              <w:bottom w:w="45" w:type="dxa"/>
              <w:right w:w="45" w:type="dxa"/>
            </w:tcMar>
          </w:tcPr>
          <w:p w14:paraId="260CCF67"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Investigation</w:t>
            </w:r>
          </w:p>
        </w:tc>
      </w:tr>
      <w:tr w:rsidR="006E2EF2" w:rsidRPr="00EB6232" w14:paraId="271681B4" w14:textId="77777777">
        <w:trPr>
          <w:cantSplit/>
          <w:jc w:val="center"/>
        </w:trPr>
        <w:tc>
          <w:tcPr>
            <w:tcW w:w="3008" w:type="dxa"/>
            <w:tcMar>
              <w:top w:w="45" w:type="dxa"/>
              <w:left w:w="45" w:type="dxa"/>
              <w:bottom w:w="45" w:type="dxa"/>
              <w:right w:w="45" w:type="dxa"/>
            </w:tcMar>
          </w:tcPr>
          <w:p w14:paraId="682F7A08"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Workshop support</w:t>
            </w:r>
          </w:p>
        </w:tc>
        <w:tc>
          <w:tcPr>
            <w:tcW w:w="3008" w:type="dxa"/>
            <w:tcMar>
              <w:top w:w="45" w:type="dxa"/>
              <w:left w:w="45" w:type="dxa"/>
              <w:bottom w:w="45" w:type="dxa"/>
              <w:right w:w="45" w:type="dxa"/>
            </w:tcMar>
          </w:tcPr>
          <w:p w14:paraId="00697E5F"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Account for live online workshops, international time-zone needs, workshop access and recording/reference needs. The exact technical integration still requires validation.</w:t>
            </w:r>
          </w:p>
        </w:tc>
        <w:tc>
          <w:tcPr>
            <w:tcW w:w="3008" w:type="dxa"/>
            <w:tcMar>
              <w:top w:w="45" w:type="dxa"/>
              <w:left w:w="45" w:type="dxa"/>
              <w:bottom w:w="45" w:type="dxa"/>
              <w:right w:w="45" w:type="dxa"/>
            </w:tcMar>
          </w:tcPr>
          <w:p w14:paraId="6A21A07B"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Confirmed target, mechanism open</w:t>
            </w:r>
          </w:p>
        </w:tc>
      </w:tr>
      <w:tr w:rsidR="006E2EF2" w:rsidRPr="00EB6232" w14:paraId="1DC46103" w14:textId="77777777">
        <w:trPr>
          <w:cantSplit/>
          <w:jc w:val="center"/>
        </w:trPr>
        <w:tc>
          <w:tcPr>
            <w:tcW w:w="3008" w:type="dxa"/>
            <w:tcMar>
              <w:top w:w="45" w:type="dxa"/>
              <w:left w:w="45" w:type="dxa"/>
              <w:bottom w:w="45" w:type="dxa"/>
              <w:right w:w="45" w:type="dxa"/>
            </w:tcMar>
          </w:tcPr>
          <w:p w14:paraId="257A9149"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Assessment and feedback</w:t>
            </w:r>
          </w:p>
        </w:tc>
        <w:tc>
          <w:tcPr>
            <w:tcW w:w="3008" w:type="dxa"/>
            <w:tcMar>
              <w:top w:w="45" w:type="dxa"/>
              <w:left w:w="45" w:type="dxa"/>
              <w:bottom w:w="45" w:type="dxa"/>
              <w:right w:w="45" w:type="dxa"/>
            </w:tcMar>
          </w:tcPr>
          <w:p w14:paraId="6A246E84"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Represent formative feedback at a soft deadline and final pass/fail or graded submission at the hard deadline while preserving the opportunity to revise after formative feedback.</w:t>
            </w:r>
          </w:p>
        </w:tc>
        <w:tc>
          <w:tcPr>
            <w:tcW w:w="3008" w:type="dxa"/>
            <w:tcMar>
              <w:top w:w="45" w:type="dxa"/>
              <w:left w:w="45" w:type="dxa"/>
              <w:bottom w:w="45" w:type="dxa"/>
              <w:right w:w="45" w:type="dxa"/>
            </w:tcMar>
          </w:tcPr>
          <w:p w14:paraId="12B0A55B"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Confirmed requirement, mechanism open</w:t>
            </w:r>
          </w:p>
        </w:tc>
      </w:tr>
      <w:tr w:rsidR="006E2EF2" w:rsidRPr="00EB6232" w14:paraId="4198DE01" w14:textId="77777777">
        <w:trPr>
          <w:cantSplit/>
          <w:jc w:val="center"/>
        </w:trPr>
        <w:tc>
          <w:tcPr>
            <w:tcW w:w="3008" w:type="dxa"/>
            <w:tcMar>
              <w:top w:w="45" w:type="dxa"/>
              <w:left w:w="45" w:type="dxa"/>
              <w:bottom w:w="45" w:type="dxa"/>
              <w:right w:w="45" w:type="dxa"/>
            </w:tcMar>
          </w:tcPr>
          <w:p w14:paraId="11CA7879"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Learner activity tracking</w:t>
            </w:r>
          </w:p>
        </w:tc>
        <w:tc>
          <w:tcPr>
            <w:tcW w:w="3008" w:type="dxa"/>
            <w:tcMar>
              <w:top w:w="45" w:type="dxa"/>
              <w:left w:w="45" w:type="dxa"/>
              <w:bottom w:w="45" w:type="dxa"/>
              <w:right w:w="45" w:type="dxa"/>
            </w:tcMar>
          </w:tcPr>
          <w:p w14:paraId="1F7C7F45"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Support practical visibility of learner login, activity and progress so OAPA can identify participation and learners who may be falling behind.</w:t>
            </w:r>
          </w:p>
        </w:tc>
        <w:tc>
          <w:tcPr>
            <w:tcW w:w="3008" w:type="dxa"/>
            <w:tcMar>
              <w:top w:w="45" w:type="dxa"/>
              <w:left w:w="45" w:type="dxa"/>
              <w:bottom w:w="45" w:type="dxa"/>
              <w:right w:w="45" w:type="dxa"/>
            </w:tcMar>
          </w:tcPr>
          <w:p w14:paraId="062B2E38"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Confirmed target</w:t>
            </w:r>
          </w:p>
        </w:tc>
      </w:tr>
      <w:tr w:rsidR="006E2EF2" w:rsidRPr="00EB6232" w14:paraId="13D98CD9" w14:textId="77777777">
        <w:trPr>
          <w:cantSplit/>
          <w:jc w:val="center"/>
        </w:trPr>
        <w:tc>
          <w:tcPr>
            <w:tcW w:w="3008" w:type="dxa"/>
            <w:tcMar>
              <w:top w:w="45" w:type="dxa"/>
              <w:left w:w="45" w:type="dxa"/>
              <w:bottom w:w="45" w:type="dxa"/>
              <w:right w:w="45" w:type="dxa"/>
            </w:tcMar>
          </w:tcPr>
          <w:p w14:paraId="2089A707"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Micro-credentials and short courses</w:t>
            </w:r>
          </w:p>
        </w:tc>
        <w:tc>
          <w:tcPr>
            <w:tcW w:w="3008" w:type="dxa"/>
            <w:tcMar>
              <w:top w:w="45" w:type="dxa"/>
              <w:left w:w="45" w:type="dxa"/>
              <w:bottom w:w="45" w:type="dxa"/>
              <w:right w:w="45" w:type="dxa"/>
            </w:tcMar>
          </w:tcPr>
          <w:p w14:paraId="5BD98923"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Keep the template flexible enough to support shorter offerings. Whether this uses one configurable template or a separate short-course template remains an open design decision.</w:t>
            </w:r>
          </w:p>
        </w:tc>
        <w:tc>
          <w:tcPr>
            <w:tcW w:w="3008" w:type="dxa"/>
            <w:tcMar>
              <w:top w:w="45" w:type="dxa"/>
              <w:left w:w="45" w:type="dxa"/>
              <w:bottom w:w="45" w:type="dxa"/>
              <w:right w:w="45" w:type="dxa"/>
            </w:tcMar>
          </w:tcPr>
          <w:p w14:paraId="436EFC80"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Direction confirmed, design open</w:t>
            </w:r>
          </w:p>
        </w:tc>
      </w:tr>
      <w:tr w:rsidR="006E2EF2" w:rsidRPr="00EB6232" w14:paraId="273149D4" w14:textId="77777777">
        <w:trPr>
          <w:cantSplit/>
          <w:jc w:val="center"/>
        </w:trPr>
        <w:tc>
          <w:tcPr>
            <w:tcW w:w="3008" w:type="dxa"/>
            <w:tcMar>
              <w:top w:w="45" w:type="dxa"/>
              <w:left w:w="45" w:type="dxa"/>
              <w:bottom w:w="45" w:type="dxa"/>
              <w:right w:w="45" w:type="dxa"/>
            </w:tcMar>
          </w:tcPr>
          <w:p w14:paraId="1BFD2C36"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Sprint 2 Core MVP</w:t>
            </w:r>
          </w:p>
        </w:tc>
        <w:tc>
          <w:tcPr>
            <w:tcW w:w="3008" w:type="dxa"/>
            <w:tcMar>
              <w:top w:w="45" w:type="dxa"/>
              <w:left w:w="45" w:type="dxa"/>
              <w:bottom w:w="45" w:type="dxa"/>
              <w:right w:w="45" w:type="dxa"/>
            </w:tcMar>
          </w:tcPr>
          <w:p w14:paraId="5A95E31D"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Implement one agreed representative reusable learner/course journey end-to-end after Sprint 1 playback and approval.</w:t>
            </w:r>
          </w:p>
        </w:tc>
        <w:tc>
          <w:tcPr>
            <w:tcW w:w="3008" w:type="dxa"/>
            <w:tcMar>
              <w:top w:w="45" w:type="dxa"/>
              <w:left w:w="45" w:type="dxa"/>
              <w:bottom w:w="45" w:type="dxa"/>
              <w:right w:w="45" w:type="dxa"/>
            </w:tcMar>
          </w:tcPr>
          <w:p w14:paraId="4336C506"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Planned</w:t>
            </w:r>
          </w:p>
        </w:tc>
      </w:tr>
      <w:tr w:rsidR="006E2EF2" w:rsidRPr="00EB6232" w14:paraId="15FFB35C" w14:textId="77777777">
        <w:trPr>
          <w:cantSplit/>
          <w:jc w:val="center"/>
        </w:trPr>
        <w:tc>
          <w:tcPr>
            <w:tcW w:w="3008" w:type="dxa"/>
            <w:tcMar>
              <w:top w:w="45" w:type="dxa"/>
              <w:left w:w="45" w:type="dxa"/>
              <w:bottom w:w="45" w:type="dxa"/>
              <w:right w:w="45" w:type="dxa"/>
            </w:tcMar>
          </w:tcPr>
          <w:p w14:paraId="28EA0AE8"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Sprint 3 refinement</w:t>
            </w:r>
          </w:p>
        </w:tc>
        <w:tc>
          <w:tcPr>
            <w:tcW w:w="3008" w:type="dxa"/>
            <w:tcMar>
              <w:top w:w="45" w:type="dxa"/>
              <w:left w:w="45" w:type="dxa"/>
              <w:bottom w:w="45" w:type="dxa"/>
              <w:right w:w="45" w:type="dxa"/>
            </w:tcMar>
          </w:tcPr>
          <w:p w14:paraId="35B1254C"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Test, refine and harden the Core MVP, resolve priority defects and incorporate approved improvements where feasible.</w:t>
            </w:r>
          </w:p>
        </w:tc>
        <w:tc>
          <w:tcPr>
            <w:tcW w:w="3008" w:type="dxa"/>
            <w:tcMar>
              <w:top w:w="45" w:type="dxa"/>
              <w:left w:w="45" w:type="dxa"/>
              <w:bottom w:w="45" w:type="dxa"/>
              <w:right w:w="45" w:type="dxa"/>
            </w:tcMar>
          </w:tcPr>
          <w:p w14:paraId="67F0A53B"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Confirmed roadmap</w:t>
            </w:r>
          </w:p>
        </w:tc>
      </w:tr>
    </w:tbl>
    <w:p w14:paraId="0D908B9E" w14:textId="77777777" w:rsidR="006E2EF2" w:rsidRPr="00EB6232" w:rsidRDefault="006E2EF2">
      <w:pPr>
        <w:spacing w:after="0"/>
        <w:rPr>
          <w:rFonts w:asciiTheme="majorHAnsi" w:hAnsiTheme="majorHAnsi" w:cstheme="majorHAnsi"/>
        </w:rPr>
      </w:pPr>
    </w:p>
    <w:p w14:paraId="7D48F2E7" w14:textId="77777777" w:rsidR="006E2EF2" w:rsidRPr="00EB6232" w:rsidRDefault="00000000">
      <w:pPr>
        <w:pStyle w:val="Heading1"/>
        <w:spacing w:line="240" w:lineRule="auto"/>
        <w:rPr>
          <w:rFonts w:cstheme="majorHAnsi"/>
        </w:rPr>
      </w:pPr>
      <w:r w:rsidRPr="00EB6232">
        <w:rPr>
          <w:rFonts w:cstheme="majorHAnsi"/>
        </w:rPr>
        <w:t>3. Explicitly out of scope / not automatically committed</w:t>
      </w:r>
    </w:p>
    <w:p w14:paraId="729B8532"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t>Replacing Moodle with another LMS.</w:t>
      </w:r>
    </w:p>
    <w:p w14:paraId="5351C3FA"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t>Rebuilding the established Moodle backend, core security, hosting or update infrastructure.</w:t>
      </w:r>
    </w:p>
    <w:p w14:paraId="02D82E8F"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t>Redesigning or modifying the old legacy Moodle platform. It is reference-only for Team 74.</w:t>
      </w:r>
    </w:p>
    <w:p w14:paraId="3A7EC42B"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t>Authoring or taking ownership of OAPA academic course content. OAPA and its content experts own the educational material, Team 74 owns the agreed structure, presentation and interaction framework.</w:t>
      </w:r>
    </w:p>
    <w:p w14:paraId="2C388383"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t>Building every planned Academy course, all qualification tiers, all future micro-credentials or the full OAPA target programme during this capstone project.</w:t>
      </w:r>
    </w:p>
    <w:p w14:paraId="0F19F390"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t>Treating the full OAPA development brief or any larger notional hour allocation as Team 74's committed implementation workload.</w:t>
      </w:r>
    </w:p>
    <w:p w14:paraId="71A18CEA"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lastRenderedPageBreak/>
        <w:t>Making H5P, gamification, custom plugins or platform-wide interactive conversion mandatory before feasibility and client review.</w:t>
      </w:r>
    </w:p>
    <w:p w14:paraId="5DA7D049"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t>Automatic editing or splicing of workshop recordings. This was discussed as a stretch idea and is not part of the committed Core MVP.</w:t>
      </w:r>
    </w:p>
    <w:p w14:paraId="09EE744A"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t>Implementing disputed or technically unverified requirements before the client and supervisor agree the Sprint 2 Core MVP.</w:t>
      </w:r>
    </w:p>
    <w:p w14:paraId="1BEFE059"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t>Unrelated OAPA publishing-platform functionality outside the Editor Academy learning experience.</w:t>
      </w:r>
    </w:p>
    <w:p w14:paraId="5C7E8947" w14:textId="77777777" w:rsidR="006E2EF2" w:rsidRPr="00EB6232" w:rsidRDefault="00000000">
      <w:pPr>
        <w:pStyle w:val="Heading1"/>
        <w:spacing w:line="240" w:lineRule="auto"/>
        <w:rPr>
          <w:rFonts w:cstheme="majorHAnsi"/>
        </w:rPr>
      </w:pPr>
      <w:r w:rsidRPr="00EB6232">
        <w:rPr>
          <w:rFonts w:cstheme="majorHAnsi"/>
        </w:rPr>
        <w:t>4. Constraints and active dependencies</w:t>
      </w:r>
    </w:p>
    <w:tbl>
      <w:tblPr>
        <w:tblStyle w:val="TableGrid"/>
        <w:tblW w:w="0" w:type="auto"/>
        <w:jc w:val="center"/>
        <w:tblLayout w:type="fixed"/>
        <w:tblLook w:val="04A0" w:firstRow="1" w:lastRow="0" w:firstColumn="1" w:lastColumn="0" w:noHBand="0" w:noVBand="1"/>
      </w:tblPr>
      <w:tblGrid>
        <w:gridCol w:w="3008"/>
        <w:gridCol w:w="5256"/>
        <w:gridCol w:w="3008"/>
      </w:tblGrid>
      <w:tr w:rsidR="006E2EF2" w:rsidRPr="00EB6232" w14:paraId="695F308A" w14:textId="77777777">
        <w:trPr>
          <w:cantSplit/>
          <w:tblHeader/>
          <w:jc w:val="center"/>
        </w:trPr>
        <w:tc>
          <w:tcPr>
            <w:tcW w:w="2088" w:type="dxa"/>
            <w:tcMar>
              <w:top w:w="45" w:type="dxa"/>
              <w:left w:w="45" w:type="dxa"/>
              <w:bottom w:w="45" w:type="dxa"/>
              <w:right w:w="45" w:type="dxa"/>
            </w:tcMar>
          </w:tcPr>
          <w:p w14:paraId="7D65458D"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Constraint / dependency</w:t>
            </w:r>
          </w:p>
        </w:tc>
        <w:tc>
          <w:tcPr>
            <w:tcW w:w="5256" w:type="dxa"/>
            <w:tcMar>
              <w:top w:w="45" w:type="dxa"/>
              <w:left w:w="45" w:type="dxa"/>
              <w:bottom w:w="45" w:type="dxa"/>
              <w:right w:w="45" w:type="dxa"/>
            </w:tcMar>
          </w:tcPr>
          <w:p w14:paraId="312A2D7B"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Current position</w:t>
            </w:r>
          </w:p>
        </w:tc>
        <w:tc>
          <w:tcPr>
            <w:tcW w:w="1683" w:type="dxa"/>
            <w:tcMar>
              <w:top w:w="45" w:type="dxa"/>
              <w:left w:w="45" w:type="dxa"/>
              <w:bottom w:w="45" w:type="dxa"/>
              <w:right w:w="45" w:type="dxa"/>
            </w:tcMar>
          </w:tcPr>
          <w:p w14:paraId="3A1F99E1"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Status</w:t>
            </w:r>
          </w:p>
        </w:tc>
      </w:tr>
      <w:tr w:rsidR="006E2EF2" w:rsidRPr="00EB6232" w14:paraId="5D983D9A" w14:textId="77777777">
        <w:trPr>
          <w:cantSplit/>
          <w:jc w:val="center"/>
        </w:trPr>
        <w:tc>
          <w:tcPr>
            <w:tcW w:w="3008" w:type="dxa"/>
            <w:tcMar>
              <w:top w:w="45" w:type="dxa"/>
              <w:left w:w="45" w:type="dxa"/>
              <w:bottom w:w="45" w:type="dxa"/>
              <w:right w:w="45" w:type="dxa"/>
            </w:tcMar>
          </w:tcPr>
          <w:p w14:paraId="03D61C3E"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Current Academy access</w:t>
            </w:r>
          </w:p>
        </w:tc>
        <w:tc>
          <w:tcPr>
            <w:tcW w:w="3008" w:type="dxa"/>
            <w:tcMar>
              <w:top w:w="45" w:type="dxa"/>
              <w:left w:w="45" w:type="dxa"/>
              <w:bottom w:w="45" w:type="dxa"/>
              <w:right w:w="45" w:type="dxa"/>
            </w:tcMar>
          </w:tcPr>
          <w:p w14:paraId="48061E89"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Sam created accounts for the team and all five current Academy logins were verified as working. The previous current-platform access blocker is resolved.</w:t>
            </w:r>
          </w:p>
        </w:tc>
        <w:tc>
          <w:tcPr>
            <w:tcW w:w="3008" w:type="dxa"/>
            <w:tcMar>
              <w:top w:w="45" w:type="dxa"/>
              <w:left w:w="45" w:type="dxa"/>
              <w:bottom w:w="45" w:type="dxa"/>
              <w:right w:w="45" w:type="dxa"/>
            </w:tcMar>
          </w:tcPr>
          <w:p w14:paraId="2DCE4776"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Resolved</w:t>
            </w:r>
          </w:p>
        </w:tc>
      </w:tr>
      <w:tr w:rsidR="006E2EF2" w:rsidRPr="00EB6232" w14:paraId="79264A9C" w14:textId="77777777">
        <w:trPr>
          <w:cantSplit/>
          <w:jc w:val="center"/>
        </w:trPr>
        <w:tc>
          <w:tcPr>
            <w:tcW w:w="3008" w:type="dxa"/>
            <w:tcMar>
              <w:top w:w="45" w:type="dxa"/>
              <w:left w:w="45" w:type="dxa"/>
              <w:bottom w:w="45" w:type="dxa"/>
              <w:right w:w="45" w:type="dxa"/>
            </w:tcMar>
          </w:tcPr>
          <w:p w14:paraId="34801E94"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Legacy Moodle reference access</w:t>
            </w:r>
          </w:p>
        </w:tc>
        <w:tc>
          <w:tcPr>
            <w:tcW w:w="3008" w:type="dxa"/>
            <w:tcMar>
              <w:top w:w="45" w:type="dxa"/>
              <w:left w:w="45" w:type="dxa"/>
              <w:bottom w:w="45" w:type="dxa"/>
              <w:right w:w="45" w:type="dxa"/>
            </w:tcMar>
          </w:tcPr>
          <w:p w14:paraId="3221E13E"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Reference access to the old Moodle has now been received and verified by Team 74. Use it only for comparison of course structure, content patterns and useful plugin references, and do not modify the legacy platform.</w:t>
            </w:r>
          </w:p>
        </w:tc>
        <w:tc>
          <w:tcPr>
            <w:tcW w:w="3008" w:type="dxa"/>
            <w:tcMar>
              <w:top w:w="45" w:type="dxa"/>
              <w:left w:w="45" w:type="dxa"/>
              <w:bottom w:w="45" w:type="dxa"/>
              <w:right w:w="45" w:type="dxa"/>
            </w:tcMar>
          </w:tcPr>
          <w:p w14:paraId="58CADA51"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Resolved / reference only</w:t>
            </w:r>
          </w:p>
        </w:tc>
      </w:tr>
      <w:tr w:rsidR="006E2EF2" w:rsidRPr="00EB6232" w14:paraId="319EBCF0" w14:textId="77777777">
        <w:trPr>
          <w:cantSplit/>
          <w:jc w:val="center"/>
        </w:trPr>
        <w:tc>
          <w:tcPr>
            <w:tcW w:w="3008" w:type="dxa"/>
            <w:tcMar>
              <w:top w:w="45" w:type="dxa"/>
              <w:left w:w="45" w:type="dxa"/>
              <w:bottom w:w="45" w:type="dxa"/>
              <w:right w:w="45" w:type="dxa"/>
            </w:tcMar>
          </w:tcPr>
          <w:p w14:paraId="4D09462C"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Sandbox / edit permissions</w:t>
            </w:r>
          </w:p>
        </w:tc>
        <w:tc>
          <w:tcPr>
            <w:tcW w:w="3008" w:type="dxa"/>
            <w:tcMar>
              <w:top w:w="45" w:type="dxa"/>
              <w:left w:w="45" w:type="dxa"/>
              <w:bottom w:w="45" w:type="dxa"/>
              <w:right w:w="45" w:type="dxa"/>
            </w:tcMar>
          </w:tcPr>
          <w:p w14:paraId="77D5D76E"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Current Academy logins work, but developer testing has shown that the accounts do not currently provide the course-creation, configuration and plugin permissions needed for the Week 2 proof-of-concept work. Where OAPA permissions prevent in-platform prototyping, the developers will use a documented independent Moodle test environment, with final verification in the OAPA Academy required before Sprint 2 implementation is locked.</w:t>
            </w:r>
          </w:p>
        </w:tc>
        <w:tc>
          <w:tcPr>
            <w:tcW w:w="3008" w:type="dxa"/>
            <w:tcMar>
              <w:top w:w="45" w:type="dxa"/>
              <w:left w:w="45" w:type="dxa"/>
              <w:bottom w:w="45" w:type="dxa"/>
              <w:right w:w="45" w:type="dxa"/>
            </w:tcMar>
          </w:tcPr>
          <w:p w14:paraId="61B681CF"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Active dependency / workaround in place</w:t>
            </w:r>
          </w:p>
        </w:tc>
      </w:tr>
      <w:tr w:rsidR="006E2EF2" w:rsidRPr="00EB6232" w14:paraId="465DF14A" w14:textId="77777777">
        <w:trPr>
          <w:cantSplit/>
          <w:jc w:val="center"/>
        </w:trPr>
        <w:tc>
          <w:tcPr>
            <w:tcW w:w="3008" w:type="dxa"/>
            <w:tcMar>
              <w:top w:w="45" w:type="dxa"/>
              <w:left w:w="45" w:type="dxa"/>
              <w:bottom w:w="45" w:type="dxa"/>
              <w:right w:w="45" w:type="dxa"/>
            </w:tcMar>
          </w:tcPr>
          <w:p w14:paraId="31C31BC1"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Client continuity</w:t>
            </w:r>
          </w:p>
        </w:tc>
        <w:tc>
          <w:tcPr>
            <w:tcW w:w="3008" w:type="dxa"/>
            <w:tcMar>
              <w:top w:w="45" w:type="dxa"/>
              <w:left w:w="45" w:type="dxa"/>
              <w:bottom w:w="45" w:type="dxa"/>
              <w:right w:w="45" w:type="dxa"/>
            </w:tcMar>
          </w:tcPr>
          <w:p w14:paraId="250C896A"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Michael Cowling and Jo-Anne Kelder are actively supporting project decisions and continuity. Darryl advised on 21 August that he was in hospital. No later Darryl availability update is treated as confirmed in this baseline.</w:t>
            </w:r>
          </w:p>
        </w:tc>
        <w:tc>
          <w:tcPr>
            <w:tcW w:w="3008" w:type="dxa"/>
            <w:tcMar>
              <w:top w:w="45" w:type="dxa"/>
              <w:left w:w="45" w:type="dxa"/>
              <w:bottom w:w="45" w:type="dxa"/>
              <w:right w:w="45" w:type="dxa"/>
            </w:tcMar>
          </w:tcPr>
          <w:p w14:paraId="6D007A3A"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Mitigated</w:t>
            </w:r>
          </w:p>
        </w:tc>
      </w:tr>
      <w:tr w:rsidR="006E2EF2" w:rsidRPr="00EB6232" w14:paraId="4EA88C90" w14:textId="77777777">
        <w:trPr>
          <w:cantSplit/>
          <w:jc w:val="center"/>
        </w:trPr>
        <w:tc>
          <w:tcPr>
            <w:tcW w:w="3008" w:type="dxa"/>
            <w:tcMar>
              <w:top w:w="45" w:type="dxa"/>
              <w:left w:w="45" w:type="dxa"/>
              <w:bottom w:w="45" w:type="dxa"/>
              <w:right w:w="45" w:type="dxa"/>
            </w:tcMar>
          </w:tcPr>
          <w:p w14:paraId="1CFE8538"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Branding guidance</w:t>
            </w:r>
          </w:p>
        </w:tc>
        <w:tc>
          <w:tcPr>
            <w:tcW w:w="3008" w:type="dxa"/>
            <w:tcMar>
              <w:top w:w="45" w:type="dxa"/>
              <w:left w:w="45" w:type="dxa"/>
              <w:bottom w:w="45" w:type="dxa"/>
              <w:right w:w="45" w:type="dxa"/>
            </w:tcMar>
          </w:tcPr>
          <w:p w14:paraId="6B4966F2"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The OAPA Brand Book was received after the client meeting and is now the reference for relevant UX and learner-facing template decisions.</w:t>
            </w:r>
          </w:p>
        </w:tc>
        <w:tc>
          <w:tcPr>
            <w:tcW w:w="3008" w:type="dxa"/>
            <w:tcMar>
              <w:top w:w="45" w:type="dxa"/>
              <w:left w:w="45" w:type="dxa"/>
              <w:bottom w:w="45" w:type="dxa"/>
              <w:right w:w="45" w:type="dxa"/>
            </w:tcMar>
          </w:tcPr>
          <w:p w14:paraId="79FF3531"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Resolved input</w:t>
            </w:r>
          </w:p>
        </w:tc>
      </w:tr>
      <w:tr w:rsidR="006E2EF2" w:rsidRPr="00EB6232" w14:paraId="1D294877" w14:textId="77777777">
        <w:trPr>
          <w:cantSplit/>
          <w:jc w:val="center"/>
        </w:trPr>
        <w:tc>
          <w:tcPr>
            <w:tcW w:w="3008" w:type="dxa"/>
            <w:tcMar>
              <w:top w:w="45" w:type="dxa"/>
              <w:left w:w="45" w:type="dxa"/>
              <w:bottom w:w="45" w:type="dxa"/>
              <w:right w:w="45" w:type="dxa"/>
            </w:tcMar>
          </w:tcPr>
          <w:p w14:paraId="33256294"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Sprint timing</w:t>
            </w:r>
          </w:p>
        </w:tc>
        <w:tc>
          <w:tcPr>
            <w:tcW w:w="3008" w:type="dxa"/>
            <w:tcMar>
              <w:top w:w="45" w:type="dxa"/>
              <w:left w:w="45" w:type="dxa"/>
              <w:bottom w:w="45" w:type="dxa"/>
              <w:right w:w="45" w:type="dxa"/>
            </w:tcMar>
          </w:tcPr>
          <w:p w14:paraId="3C43A1AE"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The earlier access delay compressed Sprint 1. The team re-sequenced work, completed access-independent preparation first and moved current-state validation forward once the Academy access became available.</w:t>
            </w:r>
          </w:p>
        </w:tc>
        <w:tc>
          <w:tcPr>
            <w:tcW w:w="3008" w:type="dxa"/>
            <w:tcMar>
              <w:top w:w="45" w:type="dxa"/>
              <w:left w:w="45" w:type="dxa"/>
              <w:bottom w:w="45" w:type="dxa"/>
              <w:right w:w="45" w:type="dxa"/>
            </w:tcMar>
          </w:tcPr>
          <w:p w14:paraId="099E68DB"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Managed schedule pressure</w:t>
            </w:r>
          </w:p>
        </w:tc>
      </w:tr>
      <w:tr w:rsidR="006E2EF2" w:rsidRPr="00EB6232" w14:paraId="76578089" w14:textId="77777777">
        <w:trPr>
          <w:cantSplit/>
          <w:jc w:val="center"/>
        </w:trPr>
        <w:tc>
          <w:tcPr>
            <w:tcW w:w="3008" w:type="dxa"/>
            <w:tcMar>
              <w:top w:w="45" w:type="dxa"/>
              <w:left w:w="45" w:type="dxa"/>
              <w:bottom w:w="45" w:type="dxa"/>
              <w:right w:w="45" w:type="dxa"/>
            </w:tcMar>
          </w:tcPr>
          <w:p w14:paraId="53CDCBD4"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Content ownership</w:t>
            </w:r>
          </w:p>
        </w:tc>
        <w:tc>
          <w:tcPr>
            <w:tcW w:w="3008" w:type="dxa"/>
            <w:tcMar>
              <w:top w:w="45" w:type="dxa"/>
              <w:left w:w="45" w:type="dxa"/>
              <w:bottom w:w="45" w:type="dxa"/>
              <w:right w:w="45" w:type="dxa"/>
            </w:tcMar>
          </w:tcPr>
          <w:p w14:paraId="1911729D"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Client-provided content is the source material. Team 74 structures and presents it but does not author the academic content.</w:t>
            </w:r>
          </w:p>
        </w:tc>
        <w:tc>
          <w:tcPr>
            <w:tcW w:w="3008" w:type="dxa"/>
            <w:tcMar>
              <w:top w:w="45" w:type="dxa"/>
              <w:left w:w="45" w:type="dxa"/>
              <w:bottom w:w="45" w:type="dxa"/>
              <w:right w:w="45" w:type="dxa"/>
            </w:tcMar>
          </w:tcPr>
          <w:p w14:paraId="4D66A868"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Fixed boundary</w:t>
            </w:r>
          </w:p>
        </w:tc>
      </w:tr>
      <w:tr w:rsidR="006E2EF2" w:rsidRPr="00EB6232" w14:paraId="1D48774F" w14:textId="77777777">
        <w:trPr>
          <w:cantSplit/>
          <w:jc w:val="center"/>
        </w:trPr>
        <w:tc>
          <w:tcPr>
            <w:tcW w:w="3008" w:type="dxa"/>
            <w:tcMar>
              <w:top w:w="45" w:type="dxa"/>
              <w:left w:w="45" w:type="dxa"/>
              <w:bottom w:w="45" w:type="dxa"/>
              <w:right w:w="45" w:type="dxa"/>
            </w:tcMar>
          </w:tcPr>
          <w:p w14:paraId="15EAF10C"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Technical mechanism choice</w:t>
            </w:r>
          </w:p>
        </w:tc>
        <w:tc>
          <w:tcPr>
            <w:tcW w:w="3008" w:type="dxa"/>
            <w:tcMar>
              <w:top w:w="45" w:type="dxa"/>
              <w:left w:w="45" w:type="dxa"/>
              <w:bottom w:w="45" w:type="dxa"/>
              <w:right w:w="45" w:type="dxa"/>
            </w:tcMar>
          </w:tcPr>
          <w:p w14:paraId="712E14C6"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Sequential release, workshop gating, soft/hard assessment, learner tracking, H5P and workshop integration must be supported by tested Moodle mechanisms before they are treated as implementation-ready.</w:t>
            </w:r>
          </w:p>
        </w:tc>
        <w:tc>
          <w:tcPr>
            <w:tcW w:w="3008" w:type="dxa"/>
            <w:tcMar>
              <w:top w:w="45" w:type="dxa"/>
              <w:left w:w="45" w:type="dxa"/>
              <w:bottom w:w="45" w:type="dxa"/>
              <w:right w:w="45" w:type="dxa"/>
            </w:tcMar>
          </w:tcPr>
          <w:p w14:paraId="0FDFF1B5"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Active dependency</w:t>
            </w:r>
          </w:p>
        </w:tc>
      </w:tr>
      <w:tr w:rsidR="006E2EF2" w:rsidRPr="00EB6232" w14:paraId="4D85C727" w14:textId="77777777">
        <w:trPr>
          <w:cantSplit/>
          <w:jc w:val="center"/>
        </w:trPr>
        <w:tc>
          <w:tcPr>
            <w:tcW w:w="3008" w:type="dxa"/>
            <w:tcMar>
              <w:top w:w="45" w:type="dxa"/>
              <w:left w:w="45" w:type="dxa"/>
              <w:bottom w:w="45" w:type="dxa"/>
              <w:right w:w="45" w:type="dxa"/>
            </w:tcMar>
          </w:tcPr>
          <w:p w14:paraId="0015E147"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Micro-credential flexibility</w:t>
            </w:r>
          </w:p>
        </w:tc>
        <w:tc>
          <w:tcPr>
            <w:tcW w:w="3008" w:type="dxa"/>
            <w:tcMar>
              <w:top w:w="45" w:type="dxa"/>
              <w:left w:w="45" w:type="dxa"/>
              <w:bottom w:w="45" w:type="dxa"/>
              <w:right w:w="45" w:type="dxa"/>
            </w:tcMar>
          </w:tcPr>
          <w:p w14:paraId="62701085"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The client wants shorter offerings as well as standard courses. The exact reusable-template approach for those offerings has not yet been finalised.</w:t>
            </w:r>
          </w:p>
        </w:tc>
        <w:tc>
          <w:tcPr>
            <w:tcW w:w="3008" w:type="dxa"/>
            <w:tcMar>
              <w:top w:w="45" w:type="dxa"/>
              <w:left w:w="45" w:type="dxa"/>
              <w:bottom w:w="45" w:type="dxa"/>
              <w:right w:w="45" w:type="dxa"/>
            </w:tcMar>
          </w:tcPr>
          <w:p w14:paraId="0036B336"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Open design decision</w:t>
            </w:r>
          </w:p>
        </w:tc>
      </w:tr>
      <w:tr w:rsidR="006E2EF2" w:rsidRPr="00EB6232" w14:paraId="3E31136D" w14:textId="77777777">
        <w:trPr>
          <w:cantSplit/>
          <w:jc w:val="center"/>
        </w:trPr>
        <w:tc>
          <w:tcPr>
            <w:tcW w:w="3008" w:type="dxa"/>
            <w:tcMar>
              <w:top w:w="45" w:type="dxa"/>
              <w:left w:w="45" w:type="dxa"/>
              <w:bottom w:w="45" w:type="dxa"/>
              <w:right w:w="45" w:type="dxa"/>
            </w:tcMar>
          </w:tcPr>
          <w:p w14:paraId="20360747"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Sprint 2 approval</w:t>
            </w:r>
          </w:p>
        </w:tc>
        <w:tc>
          <w:tcPr>
            <w:tcW w:w="3008" w:type="dxa"/>
            <w:tcMar>
              <w:top w:w="45" w:type="dxa"/>
              <w:left w:w="45" w:type="dxa"/>
              <w:bottom w:w="45" w:type="dxa"/>
              <w:right w:w="45" w:type="dxa"/>
            </w:tcMar>
          </w:tcPr>
          <w:p w14:paraId="53C1E411"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The representative Core MVP and any deferred items still need to be confirmed through Sprint 1 review/playback before implementation scope is locked.</w:t>
            </w:r>
          </w:p>
        </w:tc>
        <w:tc>
          <w:tcPr>
            <w:tcW w:w="3008" w:type="dxa"/>
            <w:tcMar>
              <w:top w:w="45" w:type="dxa"/>
              <w:left w:w="45" w:type="dxa"/>
              <w:bottom w:w="45" w:type="dxa"/>
              <w:right w:w="45" w:type="dxa"/>
            </w:tcMar>
          </w:tcPr>
          <w:p w14:paraId="50573FA2"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Active dependency</w:t>
            </w:r>
          </w:p>
        </w:tc>
      </w:tr>
      <w:tr w:rsidR="006E2EF2" w:rsidRPr="00EB6232" w14:paraId="7568148F" w14:textId="77777777">
        <w:trPr>
          <w:cantSplit/>
          <w:jc w:val="center"/>
        </w:trPr>
        <w:tc>
          <w:tcPr>
            <w:tcW w:w="3008" w:type="dxa"/>
            <w:tcMar>
              <w:top w:w="45" w:type="dxa"/>
              <w:left w:w="45" w:type="dxa"/>
              <w:bottom w:w="45" w:type="dxa"/>
              <w:right w:w="45" w:type="dxa"/>
            </w:tcMar>
          </w:tcPr>
          <w:p w14:paraId="7BC313D0"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Team capacity</w:t>
            </w:r>
          </w:p>
        </w:tc>
        <w:tc>
          <w:tcPr>
            <w:tcW w:w="3008" w:type="dxa"/>
            <w:tcMar>
              <w:top w:w="45" w:type="dxa"/>
              <w:left w:w="45" w:type="dxa"/>
              <w:bottom w:w="45" w:type="dxa"/>
              <w:right w:w="45" w:type="dxa"/>
            </w:tcMar>
          </w:tcPr>
          <w:p w14:paraId="05DBFCE4"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Planner work is intentionally limited and role-owned. Sprint 1 proof-of-concept work should validate the direction without turning into an uncontrolled full product build.</w:t>
            </w:r>
          </w:p>
        </w:tc>
        <w:tc>
          <w:tcPr>
            <w:tcW w:w="3008" w:type="dxa"/>
            <w:tcMar>
              <w:top w:w="45" w:type="dxa"/>
              <w:left w:w="45" w:type="dxa"/>
              <w:bottom w:w="45" w:type="dxa"/>
              <w:right w:w="45" w:type="dxa"/>
            </w:tcMar>
          </w:tcPr>
          <w:p w14:paraId="638160B6"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Delivery constraint</w:t>
            </w:r>
          </w:p>
        </w:tc>
      </w:tr>
    </w:tbl>
    <w:p w14:paraId="34E9A81D" w14:textId="77777777" w:rsidR="006E2EF2" w:rsidRPr="00EB6232" w:rsidRDefault="006E2EF2">
      <w:pPr>
        <w:spacing w:after="0"/>
        <w:rPr>
          <w:rFonts w:asciiTheme="majorHAnsi" w:hAnsiTheme="majorHAnsi" w:cstheme="majorHAnsi"/>
        </w:rPr>
      </w:pPr>
    </w:p>
    <w:p w14:paraId="02E32540" w14:textId="77777777" w:rsidR="006E2EF2" w:rsidRPr="00EB6232" w:rsidRDefault="00000000">
      <w:pPr>
        <w:pStyle w:val="Heading1"/>
        <w:spacing w:line="240" w:lineRule="auto"/>
        <w:rPr>
          <w:rFonts w:cstheme="majorHAnsi"/>
        </w:rPr>
      </w:pPr>
      <w:r w:rsidRPr="00EB6232">
        <w:rPr>
          <w:rFonts w:cstheme="majorHAnsi"/>
        </w:rPr>
        <w:t>5. Assumptions - not facts until confirmed</w:t>
      </w:r>
    </w:p>
    <w:p w14:paraId="50659D15"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t>Independent Moodle proof-of-concept results can demonstrate technical feasibility during Sprint 1, but OAPA-specific implementation remains unconfirmed until the same mechanism is verified in the Academy with the required course-creation, configuration and plugin permissions.</w:t>
      </w:r>
    </w:p>
    <w:p w14:paraId="65481D4C"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t>One flexible template may be able to support both standard courses and shorter micro-credentials, but the client has not yet selected that approach over a separate short-course template.</w:t>
      </w:r>
    </w:p>
    <w:p w14:paraId="1A98D151"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t>The proposed Sprint 2 Core MVP will use one representative course/template journey, but the exact exemplar and final acceptance baseline remain subject to Sprint 1 playback.</w:t>
      </w:r>
    </w:p>
    <w:p w14:paraId="73A2C8B2"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lastRenderedPageBreak/>
        <w:t>The current Moodle can support the required assessment feedback model, workshop-attendance gating, in-platform workshop workflow and learner reporting using native capability or acceptable minimal plugins. These mechanisms must be tested rather than assumed.</w:t>
      </w:r>
    </w:p>
    <w:p w14:paraId="46FA3E50" w14:textId="77777777" w:rsidR="006E2EF2" w:rsidRPr="00EB6232" w:rsidRDefault="00000000">
      <w:pPr>
        <w:pStyle w:val="ListBullet"/>
        <w:spacing w:after="40"/>
        <w:rPr>
          <w:rFonts w:asciiTheme="majorHAnsi" w:hAnsiTheme="majorHAnsi" w:cstheme="majorHAnsi"/>
        </w:rPr>
      </w:pPr>
      <w:r w:rsidRPr="00EB6232">
        <w:rPr>
          <w:rFonts w:asciiTheme="majorHAnsi" w:hAnsiTheme="majorHAnsi" w:cstheme="majorHAnsi"/>
        </w:rPr>
        <w:t>International delivery and multiple time-zone streams are confirmed considerations, but the exact cohort sizes, concurrency and reporting scale are still not fixed.</w:t>
      </w:r>
    </w:p>
    <w:p w14:paraId="09356167" w14:textId="77777777" w:rsidR="006E2EF2" w:rsidRPr="00EB6232" w:rsidRDefault="00000000">
      <w:pPr>
        <w:pStyle w:val="Heading1"/>
        <w:spacing w:line="240" w:lineRule="auto"/>
        <w:rPr>
          <w:rFonts w:cstheme="majorHAnsi"/>
        </w:rPr>
      </w:pPr>
      <w:r w:rsidRPr="00EB6232">
        <w:rPr>
          <w:rFonts w:cstheme="majorHAnsi"/>
        </w:rPr>
        <w:t>6. Open scope decisions requiring confirmation</w:t>
      </w:r>
    </w:p>
    <w:tbl>
      <w:tblPr>
        <w:tblStyle w:val="TableGrid"/>
        <w:tblW w:w="0" w:type="auto"/>
        <w:jc w:val="center"/>
        <w:tblLayout w:type="fixed"/>
        <w:tblLook w:val="04A0" w:firstRow="1" w:lastRow="0" w:firstColumn="1" w:lastColumn="0" w:noHBand="0" w:noVBand="1"/>
      </w:tblPr>
      <w:tblGrid>
        <w:gridCol w:w="2256"/>
        <w:gridCol w:w="4464"/>
        <w:gridCol w:w="2256"/>
        <w:gridCol w:w="2256"/>
      </w:tblGrid>
      <w:tr w:rsidR="006E2EF2" w:rsidRPr="00EB6232" w14:paraId="57F6493F" w14:textId="77777777">
        <w:trPr>
          <w:cantSplit/>
          <w:tblHeader/>
          <w:jc w:val="center"/>
        </w:trPr>
        <w:tc>
          <w:tcPr>
            <w:tcW w:w="648" w:type="dxa"/>
            <w:tcMar>
              <w:top w:w="45" w:type="dxa"/>
              <w:left w:w="45" w:type="dxa"/>
              <w:bottom w:w="45" w:type="dxa"/>
              <w:right w:w="45" w:type="dxa"/>
            </w:tcMar>
          </w:tcPr>
          <w:p w14:paraId="5FE653D4"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ID</w:t>
            </w:r>
          </w:p>
        </w:tc>
        <w:tc>
          <w:tcPr>
            <w:tcW w:w="4464" w:type="dxa"/>
            <w:tcMar>
              <w:top w:w="45" w:type="dxa"/>
              <w:left w:w="45" w:type="dxa"/>
              <w:bottom w:w="45" w:type="dxa"/>
              <w:right w:w="45" w:type="dxa"/>
            </w:tcMar>
          </w:tcPr>
          <w:p w14:paraId="222ADAB0"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Open decision</w:t>
            </w:r>
          </w:p>
        </w:tc>
        <w:tc>
          <w:tcPr>
            <w:tcW w:w="1944" w:type="dxa"/>
            <w:tcMar>
              <w:top w:w="45" w:type="dxa"/>
              <w:left w:w="45" w:type="dxa"/>
              <w:bottom w:w="45" w:type="dxa"/>
              <w:right w:w="45" w:type="dxa"/>
            </w:tcMar>
          </w:tcPr>
          <w:p w14:paraId="61145047"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Owner / confirmer</w:t>
            </w:r>
          </w:p>
        </w:tc>
        <w:tc>
          <w:tcPr>
            <w:tcW w:w="1971" w:type="dxa"/>
            <w:tcMar>
              <w:top w:w="45" w:type="dxa"/>
              <w:left w:w="45" w:type="dxa"/>
              <w:bottom w:w="45" w:type="dxa"/>
              <w:right w:w="45" w:type="dxa"/>
            </w:tcMar>
          </w:tcPr>
          <w:p w14:paraId="6358926D"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Next action</w:t>
            </w:r>
          </w:p>
        </w:tc>
      </w:tr>
      <w:tr w:rsidR="006E2EF2" w:rsidRPr="00EB6232" w14:paraId="44E686F3" w14:textId="77777777">
        <w:trPr>
          <w:cantSplit/>
          <w:jc w:val="center"/>
        </w:trPr>
        <w:tc>
          <w:tcPr>
            <w:tcW w:w="2256" w:type="dxa"/>
            <w:tcMar>
              <w:top w:w="45" w:type="dxa"/>
              <w:left w:w="45" w:type="dxa"/>
              <w:bottom w:w="45" w:type="dxa"/>
              <w:right w:w="45" w:type="dxa"/>
            </w:tcMar>
          </w:tcPr>
          <w:p w14:paraId="1E64D413"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O1</w:t>
            </w:r>
          </w:p>
        </w:tc>
        <w:tc>
          <w:tcPr>
            <w:tcW w:w="2256" w:type="dxa"/>
            <w:tcMar>
              <w:top w:w="45" w:type="dxa"/>
              <w:left w:w="45" w:type="dxa"/>
              <w:bottom w:w="45" w:type="dxa"/>
              <w:right w:w="45" w:type="dxa"/>
            </w:tcMar>
          </w:tcPr>
          <w:p w14:paraId="1D289CBE"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Which validated Sprint 1 capabilities form the final Sprint 2 Core MVP, and which requirements are deferred to Sprint 3 or later?</w:t>
            </w:r>
          </w:p>
        </w:tc>
        <w:tc>
          <w:tcPr>
            <w:tcW w:w="2256" w:type="dxa"/>
            <w:tcMar>
              <w:top w:w="45" w:type="dxa"/>
              <w:left w:w="45" w:type="dxa"/>
              <w:bottom w:w="45" w:type="dxa"/>
              <w:right w:w="45" w:type="dxa"/>
            </w:tcMar>
          </w:tcPr>
          <w:p w14:paraId="3A11F592"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Michael / Jo / Vic</w:t>
            </w:r>
          </w:p>
        </w:tc>
        <w:tc>
          <w:tcPr>
            <w:tcW w:w="2256" w:type="dxa"/>
            <w:tcMar>
              <w:top w:w="45" w:type="dxa"/>
              <w:left w:w="45" w:type="dxa"/>
              <w:bottom w:w="45" w:type="dxa"/>
              <w:right w:w="45" w:type="dxa"/>
            </w:tcMar>
          </w:tcPr>
          <w:p w14:paraId="5E06C5FE"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Sprint 1 playback / client review</w:t>
            </w:r>
          </w:p>
        </w:tc>
      </w:tr>
      <w:tr w:rsidR="006E2EF2" w:rsidRPr="00EB6232" w14:paraId="22F88612" w14:textId="77777777">
        <w:trPr>
          <w:cantSplit/>
          <w:jc w:val="center"/>
        </w:trPr>
        <w:tc>
          <w:tcPr>
            <w:tcW w:w="2256" w:type="dxa"/>
            <w:tcMar>
              <w:top w:w="45" w:type="dxa"/>
              <w:left w:w="45" w:type="dxa"/>
              <w:bottom w:w="45" w:type="dxa"/>
              <w:right w:w="45" w:type="dxa"/>
            </w:tcMar>
          </w:tcPr>
          <w:p w14:paraId="5AD404C6"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O2</w:t>
            </w:r>
          </w:p>
        </w:tc>
        <w:tc>
          <w:tcPr>
            <w:tcW w:w="2256" w:type="dxa"/>
            <w:tcMar>
              <w:top w:w="45" w:type="dxa"/>
              <w:left w:w="45" w:type="dxa"/>
              <w:bottom w:w="45" w:type="dxa"/>
              <w:right w:w="45" w:type="dxa"/>
            </w:tcMar>
          </w:tcPr>
          <w:p w14:paraId="12C7FA5F"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Which legacy course or example should be used as the primary reference for the final comparison and Core MVP planning?</w:t>
            </w:r>
          </w:p>
        </w:tc>
        <w:tc>
          <w:tcPr>
            <w:tcW w:w="2256" w:type="dxa"/>
            <w:tcMar>
              <w:top w:w="45" w:type="dxa"/>
              <w:left w:w="45" w:type="dxa"/>
              <w:bottom w:w="45" w:type="dxa"/>
              <w:right w:w="45" w:type="dxa"/>
            </w:tcMar>
          </w:tcPr>
          <w:p w14:paraId="1CDCCB35"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Michael / Jo</w:t>
            </w:r>
          </w:p>
        </w:tc>
        <w:tc>
          <w:tcPr>
            <w:tcW w:w="2256" w:type="dxa"/>
            <w:tcMar>
              <w:top w:w="45" w:type="dxa"/>
              <w:left w:w="45" w:type="dxa"/>
              <w:bottom w:w="45" w:type="dxa"/>
              <w:right w:w="45" w:type="dxa"/>
            </w:tcMar>
          </w:tcPr>
          <w:p w14:paraId="5D6C68AC"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Agree reference course / example</w:t>
            </w:r>
          </w:p>
        </w:tc>
      </w:tr>
      <w:tr w:rsidR="006E2EF2" w:rsidRPr="00EB6232" w14:paraId="6BF13FB3" w14:textId="77777777">
        <w:trPr>
          <w:cantSplit/>
          <w:jc w:val="center"/>
        </w:trPr>
        <w:tc>
          <w:tcPr>
            <w:tcW w:w="2256" w:type="dxa"/>
            <w:tcMar>
              <w:top w:w="45" w:type="dxa"/>
              <w:left w:w="45" w:type="dxa"/>
              <w:bottom w:w="45" w:type="dxa"/>
              <w:right w:w="45" w:type="dxa"/>
            </w:tcMar>
          </w:tcPr>
          <w:p w14:paraId="333C367C"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O3</w:t>
            </w:r>
          </w:p>
        </w:tc>
        <w:tc>
          <w:tcPr>
            <w:tcW w:w="2256" w:type="dxa"/>
            <w:tcMar>
              <w:top w:w="45" w:type="dxa"/>
              <w:left w:w="45" w:type="dxa"/>
              <w:bottom w:w="45" w:type="dxa"/>
              <w:right w:w="45" w:type="dxa"/>
            </w:tcMar>
          </w:tcPr>
          <w:p w14:paraId="2802F3A3"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What exact course-creation, theme, plugin, configuration and change permissions can be provided in the new Academy for Sprint 2 implementation?</w:t>
            </w:r>
          </w:p>
        </w:tc>
        <w:tc>
          <w:tcPr>
            <w:tcW w:w="2256" w:type="dxa"/>
            <w:tcMar>
              <w:top w:w="45" w:type="dxa"/>
              <w:left w:w="45" w:type="dxa"/>
              <w:bottom w:w="45" w:type="dxa"/>
              <w:right w:w="45" w:type="dxa"/>
            </w:tcMar>
          </w:tcPr>
          <w:p w14:paraId="14497DB9"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Sam / OAPA technical + Dev team</w:t>
            </w:r>
          </w:p>
        </w:tc>
        <w:tc>
          <w:tcPr>
            <w:tcW w:w="2256" w:type="dxa"/>
            <w:tcMar>
              <w:top w:w="45" w:type="dxa"/>
              <w:left w:w="45" w:type="dxa"/>
              <w:bottom w:w="45" w:type="dxa"/>
              <w:right w:w="45" w:type="dxa"/>
            </w:tcMar>
          </w:tcPr>
          <w:p w14:paraId="6268DCF3"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Resolve access or confirm deployment workflow</w:t>
            </w:r>
          </w:p>
        </w:tc>
      </w:tr>
      <w:tr w:rsidR="006E2EF2" w:rsidRPr="00EB6232" w14:paraId="170E85BA" w14:textId="77777777">
        <w:trPr>
          <w:cantSplit/>
          <w:jc w:val="center"/>
        </w:trPr>
        <w:tc>
          <w:tcPr>
            <w:tcW w:w="2256" w:type="dxa"/>
            <w:tcMar>
              <w:top w:w="45" w:type="dxa"/>
              <w:left w:w="45" w:type="dxa"/>
              <w:bottom w:w="45" w:type="dxa"/>
              <w:right w:w="45" w:type="dxa"/>
            </w:tcMar>
          </w:tcPr>
          <w:p w14:paraId="2125A5AC"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O4</w:t>
            </w:r>
          </w:p>
        </w:tc>
        <w:tc>
          <w:tcPr>
            <w:tcW w:w="2256" w:type="dxa"/>
            <w:tcMar>
              <w:top w:w="45" w:type="dxa"/>
              <w:left w:w="45" w:type="dxa"/>
              <w:bottom w:w="45" w:type="dxa"/>
              <w:right w:w="45" w:type="dxa"/>
            </w:tcMar>
          </w:tcPr>
          <w:p w14:paraId="3C5183D6"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Should short courses and micro-credentials use the same configurable template or a separate shorter template?</w:t>
            </w:r>
          </w:p>
        </w:tc>
        <w:tc>
          <w:tcPr>
            <w:tcW w:w="2256" w:type="dxa"/>
            <w:tcMar>
              <w:top w:w="45" w:type="dxa"/>
              <w:left w:w="45" w:type="dxa"/>
              <w:bottom w:w="45" w:type="dxa"/>
              <w:right w:w="45" w:type="dxa"/>
            </w:tcMar>
          </w:tcPr>
          <w:p w14:paraId="1E3B861B"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Michael / Jo + BA/UX/Dev</w:t>
            </w:r>
          </w:p>
        </w:tc>
        <w:tc>
          <w:tcPr>
            <w:tcW w:w="2256" w:type="dxa"/>
            <w:tcMar>
              <w:top w:w="45" w:type="dxa"/>
              <w:left w:w="45" w:type="dxa"/>
              <w:bottom w:w="45" w:type="dxa"/>
              <w:right w:w="45" w:type="dxa"/>
            </w:tcMar>
          </w:tcPr>
          <w:p w14:paraId="6C9479B8"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Client design decision</w:t>
            </w:r>
          </w:p>
        </w:tc>
      </w:tr>
      <w:tr w:rsidR="006E2EF2" w:rsidRPr="00EB6232" w14:paraId="217E9E04" w14:textId="77777777">
        <w:trPr>
          <w:cantSplit/>
          <w:jc w:val="center"/>
        </w:trPr>
        <w:tc>
          <w:tcPr>
            <w:tcW w:w="2256" w:type="dxa"/>
            <w:tcMar>
              <w:top w:w="45" w:type="dxa"/>
              <w:left w:w="45" w:type="dxa"/>
              <w:bottom w:w="45" w:type="dxa"/>
              <w:right w:w="45" w:type="dxa"/>
            </w:tcMar>
          </w:tcPr>
          <w:p w14:paraId="232CEA0B"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O5</w:t>
            </w:r>
          </w:p>
        </w:tc>
        <w:tc>
          <w:tcPr>
            <w:tcW w:w="2256" w:type="dxa"/>
            <w:tcMar>
              <w:top w:w="45" w:type="dxa"/>
              <w:left w:w="45" w:type="dxa"/>
              <w:bottom w:w="45" w:type="dxa"/>
              <w:right w:w="45" w:type="dxa"/>
            </w:tcMar>
          </w:tcPr>
          <w:p w14:paraId="0D1B67B0"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What Moodle mechanism will implement the soft formative deadline, revision opportunity and hard final deadline without confusing learners?</w:t>
            </w:r>
          </w:p>
        </w:tc>
        <w:tc>
          <w:tcPr>
            <w:tcW w:w="2256" w:type="dxa"/>
            <w:tcMar>
              <w:top w:w="45" w:type="dxa"/>
              <w:left w:w="45" w:type="dxa"/>
              <w:bottom w:w="45" w:type="dxa"/>
              <w:right w:w="45" w:type="dxa"/>
            </w:tcMar>
          </w:tcPr>
          <w:p w14:paraId="6F658D8C"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Dev team + client</w:t>
            </w:r>
          </w:p>
        </w:tc>
        <w:tc>
          <w:tcPr>
            <w:tcW w:w="2256" w:type="dxa"/>
            <w:tcMar>
              <w:top w:w="45" w:type="dxa"/>
              <w:left w:w="45" w:type="dxa"/>
              <w:bottom w:w="45" w:type="dxa"/>
              <w:right w:w="45" w:type="dxa"/>
            </w:tcMar>
          </w:tcPr>
          <w:p w14:paraId="25F4200F"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Technical feasibility and client confirmation</w:t>
            </w:r>
          </w:p>
        </w:tc>
      </w:tr>
      <w:tr w:rsidR="006E2EF2" w:rsidRPr="00EB6232" w14:paraId="38A4B4A5" w14:textId="77777777">
        <w:trPr>
          <w:cantSplit/>
          <w:jc w:val="center"/>
        </w:trPr>
        <w:tc>
          <w:tcPr>
            <w:tcW w:w="2256" w:type="dxa"/>
            <w:tcMar>
              <w:top w:w="45" w:type="dxa"/>
              <w:left w:w="45" w:type="dxa"/>
              <w:bottom w:w="45" w:type="dxa"/>
              <w:right w:w="45" w:type="dxa"/>
            </w:tcMar>
          </w:tcPr>
          <w:p w14:paraId="1180CCA2"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O6</w:t>
            </w:r>
          </w:p>
        </w:tc>
        <w:tc>
          <w:tcPr>
            <w:tcW w:w="2256" w:type="dxa"/>
            <w:tcMar>
              <w:top w:w="45" w:type="dxa"/>
              <w:left w:w="45" w:type="dxa"/>
              <w:bottom w:w="45" w:type="dxa"/>
              <w:right w:w="45" w:type="dxa"/>
            </w:tcMar>
          </w:tcPr>
          <w:p w14:paraId="153719C7"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How should workshop attendance be recorded and used to enforce the two-of-three workshop requirement before assessment access?</w:t>
            </w:r>
          </w:p>
        </w:tc>
        <w:tc>
          <w:tcPr>
            <w:tcW w:w="2256" w:type="dxa"/>
            <w:tcMar>
              <w:top w:w="45" w:type="dxa"/>
              <w:left w:w="45" w:type="dxa"/>
              <w:bottom w:w="45" w:type="dxa"/>
              <w:right w:w="45" w:type="dxa"/>
            </w:tcMar>
          </w:tcPr>
          <w:p w14:paraId="7DE4A03C"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Dev team + client</w:t>
            </w:r>
          </w:p>
        </w:tc>
        <w:tc>
          <w:tcPr>
            <w:tcW w:w="2256" w:type="dxa"/>
            <w:tcMar>
              <w:top w:w="45" w:type="dxa"/>
              <w:left w:w="45" w:type="dxa"/>
              <w:bottom w:w="45" w:type="dxa"/>
              <w:right w:w="45" w:type="dxa"/>
            </w:tcMar>
          </w:tcPr>
          <w:p w14:paraId="46E41FCC"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Technical feasibility and client confirmation</w:t>
            </w:r>
          </w:p>
        </w:tc>
      </w:tr>
      <w:tr w:rsidR="006E2EF2" w:rsidRPr="00EB6232" w14:paraId="58D23CDC" w14:textId="77777777">
        <w:trPr>
          <w:cantSplit/>
          <w:jc w:val="center"/>
        </w:trPr>
        <w:tc>
          <w:tcPr>
            <w:tcW w:w="2256" w:type="dxa"/>
            <w:tcMar>
              <w:top w:w="45" w:type="dxa"/>
              <w:left w:w="45" w:type="dxa"/>
              <w:bottom w:w="45" w:type="dxa"/>
              <w:right w:w="45" w:type="dxa"/>
            </w:tcMar>
          </w:tcPr>
          <w:p w14:paraId="21B2E81F"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O7</w:t>
            </w:r>
          </w:p>
        </w:tc>
        <w:tc>
          <w:tcPr>
            <w:tcW w:w="2256" w:type="dxa"/>
            <w:tcMar>
              <w:top w:w="45" w:type="dxa"/>
              <w:left w:w="45" w:type="dxa"/>
              <w:bottom w:w="45" w:type="dxa"/>
              <w:right w:w="45" w:type="dxa"/>
            </w:tcMar>
          </w:tcPr>
          <w:p w14:paraId="677FC05B"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What learner login, progress and at-risk reporting views are required for OAPA administrators and facilitators?</w:t>
            </w:r>
          </w:p>
        </w:tc>
        <w:tc>
          <w:tcPr>
            <w:tcW w:w="2256" w:type="dxa"/>
            <w:tcMar>
              <w:top w:w="45" w:type="dxa"/>
              <w:left w:w="45" w:type="dxa"/>
              <w:bottom w:w="45" w:type="dxa"/>
              <w:right w:w="45" w:type="dxa"/>
            </w:tcMar>
          </w:tcPr>
          <w:p w14:paraId="2B034DC2"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Michael / Jo + BA/Dev</w:t>
            </w:r>
          </w:p>
        </w:tc>
        <w:tc>
          <w:tcPr>
            <w:tcW w:w="2256" w:type="dxa"/>
            <w:tcMar>
              <w:top w:w="45" w:type="dxa"/>
              <w:left w:w="45" w:type="dxa"/>
              <w:bottom w:w="45" w:type="dxa"/>
              <w:right w:w="45" w:type="dxa"/>
            </w:tcMar>
          </w:tcPr>
          <w:p w14:paraId="38CAD821"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Clarify reporting requirement</w:t>
            </w:r>
          </w:p>
        </w:tc>
      </w:tr>
      <w:tr w:rsidR="006E2EF2" w:rsidRPr="00EB6232" w14:paraId="22C901EB" w14:textId="77777777">
        <w:trPr>
          <w:cantSplit/>
          <w:jc w:val="center"/>
        </w:trPr>
        <w:tc>
          <w:tcPr>
            <w:tcW w:w="2256" w:type="dxa"/>
            <w:tcMar>
              <w:top w:w="45" w:type="dxa"/>
              <w:left w:w="45" w:type="dxa"/>
              <w:bottom w:w="45" w:type="dxa"/>
              <w:right w:w="45" w:type="dxa"/>
            </w:tcMar>
          </w:tcPr>
          <w:p w14:paraId="147599B8"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O8</w:t>
            </w:r>
          </w:p>
        </w:tc>
        <w:tc>
          <w:tcPr>
            <w:tcW w:w="2256" w:type="dxa"/>
            <w:tcMar>
              <w:top w:w="45" w:type="dxa"/>
              <w:left w:w="45" w:type="dxa"/>
              <w:bottom w:w="45" w:type="dxa"/>
              <w:right w:w="45" w:type="dxa"/>
            </w:tcMar>
          </w:tcPr>
          <w:p w14:paraId="7E96DA7E"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What anonymity defaults, review criteria and editorial outcomes are required for peer-review activities?</w:t>
            </w:r>
          </w:p>
        </w:tc>
        <w:tc>
          <w:tcPr>
            <w:tcW w:w="2256" w:type="dxa"/>
            <w:tcMar>
              <w:top w:w="45" w:type="dxa"/>
              <w:left w:w="45" w:type="dxa"/>
              <w:bottom w:w="45" w:type="dxa"/>
              <w:right w:w="45" w:type="dxa"/>
            </w:tcMar>
          </w:tcPr>
          <w:p w14:paraId="7C490BE1"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OAPA education stakeholders</w:t>
            </w:r>
          </w:p>
        </w:tc>
        <w:tc>
          <w:tcPr>
            <w:tcW w:w="2256" w:type="dxa"/>
            <w:tcMar>
              <w:top w:w="45" w:type="dxa"/>
              <w:left w:w="45" w:type="dxa"/>
              <w:bottom w:w="45" w:type="dxa"/>
              <w:right w:w="45" w:type="dxa"/>
            </w:tcMar>
          </w:tcPr>
          <w:p w14:paraId="1959BD89"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Client decision</w:t>
            </w:r>
          </w:p>
        </w:tc>
      </w:tr>
      <w:tr w:rsidR="006E2EF2" w:rsidRPr="00EB6232" w14:paraId="38F70648" w14:textId="77777777">
        <w:trPr>
          <w:cantSplit/>
          <w:jc w:val="center"/>
        </w:trPr>
        <w:tc>
          <w:tcPr>
            <w:tcW w:w="2256" w:type="dxa"/>
            <w:tcMar>
              <w:top w:w="45" w:type="dxa"/>
              <w:left w:w="45" w:type="dxa"/>
              <w:bottom w:w="45" w:type="dxa"/>
              <w:right w:w="45" w:type="dxa"/>
            </w:tcMar>
          </w:tcPr>
          <w:p w14:paraId="145B6359"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O9</w:t>
            </w:r>
          </w:p>
        </w:tc>
        <w:tc>
          <w:tcPr>
            <w:tcW w:w="2256" w:type="dxa"/>
            <w:tcMar>
              <w:top w:w="45" w:type="dxa"/>
              <w:left w:w="45" w:type="dxa"/>
              <w:bottom w:w="45" w:type="dxa"/>
              <w:right w:w="45" w:type="dxa"/>
            </w:tcMar>
          </w:tcPr>
          <w:p w14:paraId="10FF120B"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What learner scale, cohort size and concurrent-course assumptions should guide reporting and later quality testing?</w:t>
            </w:r>
          </w:p>
        </w:tc>
        <w:tc>
          <w:tcPr>
            <w:tcW w:w="2256" w:type="dxa"/>
            <w:tcMar>
              <w:top w:w="45" w:type="dxa"/>
              <w:left w:w="45" w:type="dxa"/>
              <w:bottom w:w="45" w:type="dxa"/>
              <w:right w:w="45" w:type="dxa"/>
            </w:tcMar>
          </w:tcPr>
          <w:p w14:paraId="2463F921"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OAPA stakeholders</w:t>
            </w:r>
          </w:p>
        </w:tc>
        <w:tc>
          <w:tcPr>
            <w:tcW w:w="2256" w:type="dxa"/>
            <w:tcMar>
              <w:top w:w="45" w:type="dxa"/>
              <w:left w:w="45" w:type="dxa"/>
              <w:bottom w:w="45" w:type="dxa"/>
              <w:right w:w="45" w:type="dxa"/>
            </w:tcMar>
          </w:tcPr>
          <w:p w14:paraId="2A592541"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Client decision</w:t>
            </w:r>
          </w:p>
        </w:tc>
      </w:tr>
    </w:tbl>
    <w:p w14:paraId="77B8BF8F" w14:textId="77777777" w:rsidR="006E2EF2" w:rsidRPr="00EB6232" w:rsidRDefault="006E2EF2">
      <w:pPr>
        <w:spacing w:after="0"/>
        <w:rPr>
          <w:rFonts w:asciiTheme="majorHAnsi" w:hAnsiTheme="majorHAnsi" w:cstheme="majorHAnsi"/>
        </w:rPr>
      </w:pPr>
    </w:p>
    <w:p w14:paraId="0599D520" w14:textId="77777777" w:rsidR="006E2EF2" w:rsidRPr="00EB6232" w:rsidRDefault="00000000">
      <w:pPr>
        <w:pStyle w:val="Heading1"/>
        <w:spacing w:line="240" w:lineRule="auto"/>
        <w:rPr>
          <w:rFonts w:cstheme="majorHAnsi"/>
        </w:rPr>
      </w:pPr>
      <w:r w:rsidRPr="00EB6232">
        <w:rPr>
          <w:rFonts w:cstheme="majorHAnsi"/>
        </w:rPr>
        <w:t>7. Sprint 1 working rule after access was received</w:t>
      </w:r>
    </w:p>
    <w:tbl>
      <w:tblPr>
        <w:tblStyle w:val="TableGrid"/>
        <w:tblW w:w="0" w:type="auto"/>
        <w:jc w:val="center"/>
        <w:tblLayout w:type="fixed"/>
        <w:tblLook w:val="04A0" w:firstRow="1" w:lastRow="0" w:firstColumn="1" w:lastColumn="0" w:noHBand="0" w:noVBand="1"/>
      </w:tblPr>
      <w:tblGrid>
        <w:gridCol w:w="9027"/>
      </w:tblGrid>
      <w:tr w:rsidR="006E2EF2" w:rsidRPr="00EB6232" w14:paraId="6EB07BB3" w14:textId="77777777">
        <w:trPr>
          <w:cantSplit/>
          <w:jc w:val="center"/>
        </w:trPr>
        <w:tc>
          <w:tcPr>
            <w:tcW w:w="9027" w:type="dxa"/>
            <w:tcMar>
              <w:top w:w="55" w:type="dxa"/>
              <w:left w:w="55" w:type="dxa"/>
              <w:bottom w:w="55" w:type="dxa"/>
              <w:right w:w="55" w:type="dxa"/>
            </w:tcMar>
          </w:tcPr>
          <w:p w14:paraId="7991EFFB"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20"/>
              </w:rPr>
              <w:t>Use live evidence</w:t>
            </w:r>
            <w:r w:rsidRPr="00EB6232">
              <w:rPr>
                <w:rFonts w:asciiTheme="majorHAnsi" w:hAnsiTheme="majorHAnsi" w:cstheme="majorHAnsi"/>
                <w:sz w:val="20"/>
              </w:rPr>
              <w:br/>
              <w:t>The new Academy is now available to the team, so current-state claims must be based on what the team can actually verify in Moodle. Sprint 1 development work should remain controlled proof-of-concept and feasibility work that supports the proposal and Core MVP decision, not an uncontrolled full implementation.</w:t>
            </w:r>
          </w:p>
        </w:tc>
      </w:tr>
    </w:tbl>
    <w:p w14:paraId="03866443" w14:textId="77777777" w:rsidR="006E2EF2" w:rsidRPr="00EB6232" w:rsidRDefault="006E2EF2">
      <w:pPr>
        <w:spacing w:after="0"/>
        <w:rPr>
          <w:rFonts w:asciiTheme="majorHAnsi" w:hAnsiTheme="majorHAnsi" w:cstheme="majorHAnsi"/>
        </w:rPr>
      </w:pPr>
    </w:p>
    <w:tbl>
      <w:tblPr>
        <w:tblStyle w:val="TableGrid"/>
        <w:tblW w:w="0" w:type="auto"/>
        <w:jc w:val="center"/>
        <w:tblLayout w:type="fixed"/>
        <w:tblLook w:val="04A0" w:firstRow="1" w:lastRow="0" w:firstColumn="1" w:lastColumn="0" w:noHBand="0" w:noVBand="1"/>
      </w:tblPr>
      <w:tblGrid>
        <w:gridCol w:w="9027"/>
      </w:tblGrid>
      <w:tr w:rsidR="006E2EF2" w:rsidRPr="00EB6232" w14:paraId="6B98C7CD" w14:textId="77777777">
        <w:trPr>
          <w:cantSplit/>
          <w:jc w:val="center"/>
        </w:trPr>
        <w:tc>
          <w:tcPr>
            <w:tcW w:w="9027" w:type="dxa"/>
            <w:tcMar>
              <w:top w:w="55" w:type="dxa"/>
              <w:left w:w="55" w:type="dxa"/>
              <w:bottom w:w="55" w:type="dxa"/>
              <w:right w:w="55" w:type="dxa"/>
            </w:tcMar>
          </w:tcPr>
          <w:p w14:paraId="55C116E9"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20"/>
              </w:rPr>
              <w:t>New platform target, old platform reference</w:t>
              <w:br/>
              <w:t>All proposed redesign and later implementation work belongs on the new OAPA Academy Moodle. The legacy Moodle may now be used to inform course structure and plugin decisions because reference access has been received, but Team 74 should not modify it.</w:t>
            </w:r>
            <w:r w:rsidRPr="00EB6232">
              <w:rPr>
                <w:rFonts w:asciiTheme="majorHAnsi" w:hAnsiTheme="majorHAnsi" w:cstheme="majorHAnsi"/>
                <w:sz w:val="20"/>
              </w:rPr>
            </w:r>
          </w:p>
        </w:tc>
      </w:tr>
    </w:tbl>
    <w:p w14:paraId="5F35F789" w14:textId="77777777" w:rsidR="006E2EF2" w:rsidRPr="00EB6232" w:rsidRDefault="006E2EF2">
      <w:pPr>
        <w:spacing w:after="0"/>
        <w:rPr>
          <w:rFonts w:asciiTheme="majorHAnsi" w:hAnsiTheme="majorHAnsi" w:cstheme="majorHAnsi"/>
        </w:rPr>
      </w:pPr>
    </w:p>
    <w:p w14:paraId="34662A8C" w14:textId="77777777" w:rsidR="006E2EF2" w:rsidRPr="00EB6232" w:rsidRDefault="00000000">
      <w:pPr>
        <w:pStyle w:val="Heading1"/>
        <w:spacing w:line="240" w:lineRule="auto"/>
        <w:rPr>
          <w:rFonts w:cstheme="majorHAnsi"/>
        </w:rPr>
      </w:pPr>
      <w:r w:rsidRPr="00EB6232">
        <w:rPr>
          <w:rFonts w:cstheme="majorHAnsi"/>
        </w:rPr>
        <w:t>8. Planner acceptance checklist mapping</w:t>
      </w:r>
    </w:p>
    <w:tbl>
      <w:tblPr>
        <w:tblStyle w:val="TableGrid"/>
        <w:tblW w:w="0" w:type="auto"/>
        <w:jc w:val="center"/>
        <w:tblLayout w:type="fixed"/>
        <w:tblLook w:val="04A0" w:firstRow="1" w:lastRow="0" w:firstColumn="1" w:lastColumn="0" w:noHBand="0" w:noVBand="1"/>
      </w:tblPr>
      <w:tblGrid>
        <w:gridCol w:w="4512"/>
        <w:gridCol w:w="5715"/>
      </w:tblGrid>
      <w:tr w:rsidR="006E2EF2" w:rsidRPr="00EB6232" w14:paraId="6C8BF05C" w14:textId="77777777">
        <w:trPr>
          <w:cantSplit/>
          <w:tblHeader/>
          <w:jc w:val="center"/>
        </w:trPr>
        <w:tc>
          <w:tcPr>
            <w:tcW w:w="3311" w:type="dxa"/>
            <w:tcMar>
              <w:top w:w="45" w:type="dxa"/>
              <w:left w:w="45" w:type="dxa"/>
              <w:bottom w:w="45" w:type="dxa"/>
              <w:right w:w="45" w:type="dxa"/>
            </w:tcMar>
          </w:tcPr>
          <w:p w14:paraId="4E7B064A"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Checklist item</w:t>
            </w:r>
          </w:p>
        </w:tc>
        <w:tc>
          <w:tcPr>
            <w:tcW w:w="5715" w:type="dxa"/>
            <w:tcMar>
              <w:top w:w="45" w:type="dxa"/>
              <w:left w:w="45" w:type="dxa"/>
              <w:bottom w:w="45" w:type="dxa"/>
              <w:right w:w="45" w:type="dxa"/>
            </w:tcMar>
          </w:tcPr>
          <w:p w14:paraId="60AD1F05" w14:textId="77777777" w:rsidR="006E2EF2" w:rsidRPr="00EB6232" w:rsidRDefault="00000000">
            <w:pPr>
              <w:spacing w:after="0"/>
              <w:rPr>
                <w:rFonts w:asciiTheme="majorHAnsi" w:hAnsiTheme="majorHAnsi" w:cstheme="majorHAnsi"/>
              </w:rPr>
            </w:pPr>
            <w:r w:rsidRPr="00EB6232">
              <w:rPr>
                <w:rFonts w:asciiTheme="majorHAnsi" w:hAnsiTheme="majorHAnsi" w:cstheme="majorHAnsi"/>
                <w:b/>
                <w:sz w:val="16"/>
              </w:rPr>
              <w:t>Evidence in this artifact</w:t>
            </w:r>
          </w:p>
        </w:tc>
      </w:tr>
      <w:tr w:rsidR="006E2EF2" w:rsidRPr="00EB6232" w14:paraId="5B2D1014" w14:textId="77777777">
        <w:trPr>
          <w:cantSplit/>
          <w:jc w:val="center"/>
        </w:trPr>
        <w:tc>
          <w:tcPr>
            <w:tcW w:w="4512" w:type="dxa"/>
            <w:tcMar>
              <w:top w:w="45" w:type="dxa"/>
              <w:left w:w="45" w:type="dxa"/>
              <w:bottom w:w="45" w:type="dxa"/>
              <w:right w:w="45" w:type="dxa"/>
            </w:tcMar>
          </w:tcPr>
          <w:p w14:paraId="4F90E8B1"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Michael and Jo recorded as current main client contacts</w:t>
            </w:r>
          </w:p>
        </w:tc>
        <w:tc>
          <w:tcPr>
            <w:tcW w:w="4512" w:type="dxa"/>
            <w:tcMar>
              <w:top w:w="45" w:type="dxa"/>
              <w:left w:w="45" w:type="dxa"/>
              <w:bottom w:w="45" w:type="dxa"/>
              <w:right w:w="45" w:type="dxa"/>
            </w:tcMar>
          </w:tcPr>
          <w:p w14:paraId="053B9E1A"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Satisfied - client continuity and decision ownership are reflected in Sections 4 and 6.</w:t>
            </w:r>
          </w:p>
        </w:tc>
      </w:tr>
      <w:tr w:rsidR="006E2EF2" w:rsidRPr="00EB6232" w14:paraId="64FE54CA" w14:textId="77777777">
        <w:trPr>
          <w:cantSplit/>
          <w:jc w:val="center"/>
        </w:trPr>
        <w:tc>
          <w:tcPr>
            <w:tcW w:w="4512" w:type="dxa"/>
            <w:tcMar>
              <w:top w:w="45" w:type="dxa"/>
              <w:left w:w="45" w:type="dxa"/>
              <w:bottom w:w="45" w:type="dxa"/>
              <w:right w:w="45" w:type="dxa"/>
            </w:tcMar>
          </w:tcPr>
          <w:p w14:paraId="6ACEB7CA"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New OAPA Academy Moodle recorded as implementation target</w:t>
            </w:r>
          </w:p>
        </w:tc>
        <w:tc>
          <w:tcPr>
            <w:tcW w:w="4512" w:type="dxa"/>
            <w:tcMar>
              <w:top w:w="45" w:type="dxa"/>
              <w:left w:w="45" w:type="dxa"/>
              <w:bottom w:w="45" w:type="dxa"/>
              <w:right w:w="45" w:type="dxa"/>
            </w:tcMar>
          </w:tcPr>
          <w:p w14:paraId="176DA923"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Satisfied - Section 2 explicitly defines the new Academy as the target environment.</w:t>
            </w:r>
          </w:p>
        </w:tc>
      </w:tr>
      <w:tr w:rsidR="006E2EF2" w:rsidRPr="00EB6232" w14:paraId="431C3112" w14:textId="77777777">
        <w:trPr>
          <w:cantSplit/>
          <w:jc w:val="center"/>
        </w:trPr>
        <w:tc>
          <w:tcPr>
            <w:tcW w:w="4512" w:type="dxa"/>
            <w:tcMar>
              <w:top w:w="45" w:type="dxa"/>
              <w:left w:w="45" w:type="dxa"/>
              <w:bottom w:w="45" w:type="dxa"/>
              <w:right w:w="45" w:type="dxa"/>
            </w:tcMar>
          </w:tcPr>
          <w:p w14:paraId="0C07C89D"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Legacy Moodle recorded as reference-only</w:t>
            </w:r>
          </w:p>
        </w:tc>
        <w:tc>
          <w:tcPr>
            <w:tcW w:w="4512" w:type="dxa"/>
            <w:tcMar>
              <w:top w:w="45" w:type="dxa"/>
              <w:left w:w="45" w:type="dxa"/>
              <w:bottom w:w="45" w:type="dxa"/>
              <w:right w:w="45" w:type="dxa"/>
            </w:tcMar>
          </w:tcPr>
          <w:p w14:paraId="21A7F2D9"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Satisfied - Sections 2, 3 and 7 make the legacy boundary explicit.</w:t>
            </w:r>
          </w:p>
        </w:tc>
      </w:tr>
      <w:tr w:rsidR="006E2EF2" w:rsidRPr="00EB6232" w14:paraId="255E5717" w14:textId="77777777">
        <w:trPr>
          <w:cantSplit/>
          <w:jc w:val="center"/>
        </w:trPr>
        <w:tc>
          <w:tcPr>
            <w:tcW w:w="4512" w:type="dxa"/>
            <w:tcMar>
              <w:top w:w="45" w:type="dxa"/>
              <w:left w:w="45" w:type="dxa"/>
              <w:bottom w:w="45" w:type="dxa"/>
              <w:right w:w="45" w:type="dxa"/>
            </w:tcMar>
          </w:tcPr>
          <w:p w14:paraId="2B9348E5"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Current Academy access and sandbox status recorded accurately</w:t>
            </w:r>
          </w:p>
        </w:tc>
        <w:tc>
          <w:tcPr>
            <w:tcW w:w="4512" w:type="dxa"/>
            <w:tcMar>
              <w:top w:w="45" w:type="dxa"/>
              <w:left w:w="45" w:type="dxa"/>
              <w:bottom w:w="45" w:type="dxa"/>
              <w:right w:w="45" w:type="dxa"/>
            </w:tcMar>
          </w:tcPr>
          <w:p w14:paraId="4C604C5D"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Satisfied - Section 4 records verified team logins and separates them from still-unverified technical permissions.</w:t>
            </w:r>
          </w:p>
        </w:tc>
      </w:tr>
      <w:tr w:rsidR="006E2EF2" w:rsidRPr="00EB6232" w14:paraId="13757064" w14:textId="77777777">
        <w:trPr>
          <w:cantSplit/>
          <w:jc w:val="center"/>
        </w:trPr>
        <w:tc>
          <w:tcPr>
            <w:tcW w:w="4512" w:type="dxa"/>
            <w:tcMar>
              <w:top w:w="45" w:type="dxa"/>
              <w:left w:w="45" w:type="dxa"/>
              <w:bottom w:w="45" w:type="dxa"/>
              <w:right w:w="45" w:type="dxa"/>
            </w:tcMar>
          </w:tcPr>
          <w:p w14:paraId="2F3FD5E3"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Reusable branded course template recorded as primary direction</w:t>
            </w:r>
          </w:p>
        </w:tc>
        <w:tc>
          <w:tcPr>
            <w:tcW w:w="4512" w:type="dxa"/>
            <w:tcMar>
              <w:top w:w="45" w:type="dxa"/>
              <w:left w:w="45" w:type="dxa"/>
              <w:bottom w:w="45" w:type="dxa"/>
              <w:right w:w="45" w:type="dxa"/>
            </w:tcMar>
          </w:tcPr>
          <w:p w14:paraId="3EFD38B6"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Satisfied - Sections 1 and 2 identify the reusable branded framework as the main project direction.</w:t>
            </w:r>
          </w:p>
        </w:tc>
      </w:tr>
      <w:tr w:rsidR="006E2EF2" w:rsidRPr="00EB6232" w14:paraId="0B0356E9" w14:textId="77777777">
        <w:trPr>
          <w:cantSplit/>
          <w:jc w:val="center"/>
        </w:trPr>
        <w:tc>
          <w:tcPr>
            <w:tcW w:w="4512" w:type="dxa"/>
            <w:tcMar>
              <w:top w:w="45" w:type="dxa"/>
              <w:left w:w="45" w:type="dxa"/>
              <w:bottom w:w="45" w:type="dxa"/>
              <w:right w:w="45" w:type="dxa"/>
            </w:tcMar>
          </w:tcPr>
          <w:p w14:paraId="1B6570BD"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lastRenderedPageBreak/>
              <w:t>Confirmed learner-cycle rules documented</w:t>
            </w:r>
          </w:p>
        </w:tc>
        <w:tc>
          <w:tcPr>
            <w:tcW w:w="4512" w:type="dxa"/>
            <w:tcMar>
              <w:top w:w="45" w:type="dxa"/>
              <w:left w:w="45" w:type="dxa"/>
              <w:bottom w:w="45" w:type="dxa"/>
              <w:right w:w="45" w:type="dxa"/>
            </w:tcMar>
          </w:tcPr>
          <w:p w14:paraId="1DA2D648"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Satisfied - Section 2 records the three-module sequence, workshops, assessment phase and workshop-attendance requirement.</w:t>
            </w:r>
          </w:p>
        </w:tc>
      </w:tr>
      <w:tr w:rsidR="006E2EF2" w:rsidRPr="00EB6232" w14:paraId="02DBFF93" w14:textId="77777777">
        <w:trPr>
          <w:cantSplit/>
          <w:jc w:val="center"/>
        </w:trPr>
        <w:tc>
          <w:tcPr>
            <w:tcW w:w="4512" w:type="dxa"/>
            <w:tcMar>
              <w:top w:w="45" w:type="dxa"/>
              <w:left w:w="45" w:type="dxa"/>
              <w:bottom w:w="45" w:type="dxa"/>
              <w:right w:w="45" w:type="dxa"/>
            </w:tcMar>
          </w:tcPr>
          <w:p w14:paraId="1A29D874"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Remaining dependencies clearly separated</w:t>
            </w:r>
          </w:p>
        </w:tc>
        <w:tc>
          <w:tcPr>
            <w:tcW w:w="4512" w:type="dxa"/>
            <w:tcMar>
              <w:top w:w="45" w:type="dxa"/>
              <w:left w:w="45" w:type="dxa"/>
              <w:bottom w:w="45" w:type="dxa"/>
              <w:right w:w="45" w:type="dxa"/>
            </w:tcMar>
          </w:tcPr>
          <w:p w14:paraId="52618945" w14:textId="77777777" w:rsidR="006E2EF2" w:rsidRPr="00EB6232" w:rsidRDefault="00000000">
            <w:pPr>
              <w:spacing w:after="0"/>
              <w:rPr>
                <w:rFonts w:asciiTheme="majorHAnsi" w:hAnsiTheme="majorHAnsi" w:cstheme="majorHAnsi"/>
              </w:rPr>
            </w:pPr>
            <w:r w:rsidRPr="00EB6232">
              <w:rPr>
                <w:rFonts w:asciiTheme="majorHAnsi" w:hAnsiTheme="majorHAnsi" w:cstheme="majorHAnsi"/>
                <w:sz w:val="16"/>
              </w:rPr>
              <w:t>Satisfied - Sections 4, 5 and 6 retain technical permissions, micro-credential flexibility and Core MVP approval as open items while legacy reference access is recorded as resolved.</w:t>
            </w:r>
          </w:p>
        </w:tc>
      </w:tr>
    </w:tbl>
    <w:p w14:paraId="4CE86645" w14:textId="77777777" w:rsidR="006E2EF2" w:rsidRPr="00EB6232" w:rsidRDefault="006E2EF2">
      <w:pPr>
        <w:spacing w:after="0"/>
        <w:rPr>
          <w:rFonts w:asciiTheme="majorHAnsi" w:hAnsiTheme="majorHAnsi" w:cstheme="majorHAnsi"/>
        </w:rPr>
      </w:pPr>
    </w:p>
    <w:p w14:paraId="0AA843EE" w14:textId="77777777" w:rsidR="006E2EF2" w:rsidRPr="00EB6232" w:rsidRDefault="00000000">
      <w:pPr>
        <w:pStyle w:val="Heading1"/>
        <w:spacing w:line="240" w:lineRule="auto"/>
        <w:rPr>
          <w:rFonts w:cstheme="majorHAnsi"/>
        </w:rPr>
      </w:pPr>
      <w:r w:rsidRPr="00EB6232">
        <w:rPr>
          <w:rFonts w:cstheme="majorHAnsi"/>
        </w:rPr>
        <w:t>9. PM handoff</w:t>
      </w:r>
    </w:p>
    <w:p w14:paraId="7442CA4A" w14:textId="77777777" w:rsidR="006E2EF2" w:rsidRPr="00EB6232" w:rsidRDefault="00000000">
      <w:pPr>
        <w:spacing w:line="300" w:lineRule="auto"/>
        <w:rPr>
          <w:rFonts w:asciiTheme="majorHAnsi" w:hAnsiTheme="majorHAnsi" w:cstheme="majorHAnsi"/>
        </w:rPr>
      </w:pPr>
      <w:r w:rsidRPr="00EB6232">
        <w:rPr>
          <w:rFonts w:asciiTheme="majorHAnsi" w:hAnsiTheme="majorHAnsi" w:cstheme="majorHAnsi"/>
        </w:rPr>
        <w:t>BA, UX and Developers should use this baseline as the current governance reference when completing Sprint 1 artifacts and preparing the Sprint 2 recommendation. Older statements that Moodle access or branding are still unavailable should be replaced where the new evidence now resolves them. Technical mechanisms that have not been demonstrated must remain labelled as proposed, under test or to be confirmed.</w:t>
      </w:r>
    </w:p>
    <w:p w14:paraId="41576800" w14:textId="77777777" w:rsidR="006E2EF2" w:rsidRPr="00EB6232" w:rsidRDefault="00000000">
      <w:pPr>
        <w:spacing w:line="300" w:lineRule="auto"/>
        <w:rPr>
          <w:rFonts w:asciiTheme="majorHAnsi" w:hAnsiTheme="majorHAnsi" w:cstheme="majorHAnsi"/>
        </w:rPr>
      </w:pPr>
      <w:r w:rsidRPr="00EB6232">
        <w:rPr>
          <w:rFonts w:asciiTheme="majorHAnsi" w:hAnsiTheme="majorHAnsi" w:cstheme="majorHAnsi"/>
        </w:rPr>
        <w:t>Any material change to the delivery boundary, reusable-template direction or Sprint 2 Core MVP should be recorded through the project decision process before the team commits implementation effort.</w:t>
      </w:r>
    </w:p>
    <w:sectPr w:rsidR="006E2EF2" w:rsidRPr="00EB6232" w:rsidSect="00034616">
      <w:headerReference w:type="default" r:id="rId8"/>
      <w:footerReference w:type="default" r:id="rId9"/>
      <w:pgSz w:w="11905" w:h="16838"/>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9F08F" w14:textId="77777777" w:rsidR="002E1B79" w:rsidRDefault="002E1B79">
      <w:pPr>
        <w:spacing w:after="0" w:line="240" w:lineRule="auto"/>
        <w:rPr>
          <w:rFonts w:hint="eastAsia"/>
        </w:rPr>
      </w:pPr>
      <w:r>
        <w:separator/>
      </w:r>
    </w:p>
  </w:endnote>
  <w:endnote w:type="continuationSeparator" w:id="0">
    <w:p w14:paraId="5C159B83" w14:textId="77777777" w:rsidR="002E1B79" w:rsidRDefault="002E1B7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3B957" w14:textId="77777777" w:rsidR="00941CEE" w:rsidRDefault="00941CEE">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B988F" w14:textId="77777777" w:rsidR="002E1B79" w:rsidRDefault="002E1B79">
      <w:pPr>
        <w:spacing w:after="0" w:line="240" w:lineRule="auto"/>
        <w:rPr>
          <w:rFonts w:hint="eastAsia"/>
        </w:rPr>
      </w:pPr>
      <w:r>
        <w:separator/>
      </w:r>
    </w:p>
  </w:footnote>
  <w:footnote w:type="continuationSeparator" w:id="0">
    <w:p w14:paraId="60D51F0A" w14:textId="77777777" w:rsidR="002E1B79" w:rsidRDefault="002E1B7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5DF0" w14:textId="77777777" w:rsidR="00941CEE" w:rsidRDefault="00941CE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706820">
    <w:abstractNumId w:val="8"/>
  </w:num>
  <w:num w:numId="2" w16cid:durableId="1298073771">
    <w:abstractNumId w:val="6"/>
  </w:num>
  <w:num w:numId="3" w16cid:durableId="281961507">
    <w:abstractNumId w:val="5"/>
  </w:num>
  <w:num w:numId="4" w16cid:durableId="197164566">
    <w:abstractNumId w:val="4"/>
  </w:num>
  <w:num w:numId="5" w16cid:durableId="367072978">
    <w:abstractNumId w:val="7"/>
  </w:num>
  <w:num w:numId="6" w16cid:durableId="2051414951">
    <w:abstractNumId w:val="3"/>
  </w:num>
  <w:num w:numId="7" w16cid:durableId="1308970463">
    <w:abstractNumId w:val="2"/>
  </w:num>
  <w:num w:numId="8" w16cid:durableId="1760522462">
    <w:abstractNumId w:val="1"/>
  </w:num>
  <w:num w:numId="9" w16cid:durableId="108530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B79"/>
    <w:rsid w:val="00326F90"/>
    <w:rsid w:val="003F64B1"/>
    <w:rsid w:val="00670D07"/>
    <w:rsid w:val="00672F83"/>
    <w:rsid w:val="006E2EF2"/>
    <w:rsid w:val="00941CEE"/>
    <w:rsid w:val="00AA1D8D"/>
    <w:rsid w:val="00AB1501"/>
    <w:rsid w:val="00B47730"/>
    <w:rsid w:val="00B6079A"/>
    <w:rsid w:val="00CB0664"/>
    <w:rsid w:val="00E83B28"/>
    <w:rsid w:val="00EB6232"/>
    <w:rsid w:val="00F31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69553"/>
  <w14:defaultImageDpi w14:val="300"/>
  <w15:docId w15:val="{ED32DFB2-F959-46D2-B48D-F465EB01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rlito" w:hAnsi="Carlito"/>
      <w:color w:val="00000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2228</Words>
  <Characters>12700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raj</cp:lastModifiedBy>
  <cp:revision>4</cp:revision>
  <dcterms:created xsi:type="dcterms:W3CDTF">2013-12-23T23:15:00Z</dcterms:created>
  <dcterms:modified xsi:type="dcterms:W3CDTF">2026-09-05T04:17:00Z</dcterms:modified>
  <cp:category/>
</cp:coreProperties>
</file>