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color w:val="000000"/>
        </w:rPr>
        <w:t>Sprint 2 Week 3 Governance &amp; Evidence Closeout Record</w:t>
      </w:r>
    </w:p>
    <w:p>
      <w:pPr>
        <w:spacing w:after="240"/>
      </w:pPr>
      <w:r>
        <w:rPr>
          <w:color w:val="5A5A5A"/>
          <w:sz w:val="22"/>
        </w:rPr>
        <w:t>Task 51 - Consolidate Sprint 2 evidence, decisions, defects and open site-level dependencies against the Planner and Core MVP baseline</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2459"/>
            <w:vAlign w:val="top"/>
          </w:tcPr>
          <w:p>
            <w:pPr>
              <w:spacing w:after="0"/>
            </w:pPr>
            <w:r/>
            <w:r>
              <w:rPr>
                <w:b/>
                <w:sz w:val="18"/>
              </w:rPr>
              <w:t>Project</w:t>
            </w:r>
          </w:p>
        </w:tc>
        <w:tc>
          <w:tcPr>
            <w:tcW w:type="dxa" w:w="2459"/>
            <w:vAlign w:val="top"/>
          </w:tcPr>
          <w:p>
            <w:pPr>
              <w:spacing w:after="0"/>
            </w:pPr>
            <w:r/>
            <w:r>
              <w:rPr>
                <w:b w:val="0"/>
                <w:sz w:val="18"/>
              </w:rPr>
              <w:t>P000785CSITCP / Group 74 - Team A</w:t>
            </w:r>
          </w:p>
        </w:tc>
        <w:tc>
          <w:tcPr>
            <w:tcW w:type="dxa" w:w="2459"/>
            <w:vAlign w:val="top"/>
          </w:tcPr>
          <w:p>
            <w:pPr>
              <w:spacing w:after="0"/>
            </w:pPr>
            <w:r/>
            <w:r>
              <w:rPr>
                <w:b/>
                <w:sz w:val="18"/>
              </w:rPr>
              <w:t>Owner</w:t>
            </w:r>
          </w:p>
        </w:tc>
        <w:tc>
          <w:tcPr>
            <w:tcW w:type="dxa" w:w="2459"/>
            <w:vAlign w:val="top"/>
          </w:tcPr>
          <w:p>
            <w:pPr>
              <w:spacing w:after="0"/>
            </w:pPr>
            <w:r/>
            <w:r>
              <w:rPr>
                <w:b w:val="0"/>
                <w:sz w:val="18"/>
              </w:rPr>
              <w:t>Aryan Rajendra - Project Manager</w:t>
            </w:r>
          </w:p>
        </w:tc>
      </w:tr>
      <w:tr>
        <w:tc>
          <w:tcPr>
            <w:tcW w:type="dxa" w:w="2459"/>
            <w:vAlign w:val="top"/>
          </w:tcPr>
          <w:p>
            <w:pPr>
              <w:spacing w:after="0"/>
            </w:pPr>
            <w:r/>
            <w:r>
              <w:rPr>
                <w:b/>
                <w:sz w:val="18"/>
              </w:rPr>
              <w:t>Status</w:t>
            </w:r>
          </w:p>
        </w:tc>
        <w:tc>
          <w:tcPr>
            <w:tcW w:type="dxa" w:w="2459"/>
            <w:vAlign w:val="top"/>
          </w:tcPr>
          <w:p>
            <w:pPr>
              <w:spacing w:after="0"/>
            </w:pPr>
            <w:r/>
            <w:r>
              <w:rPr>
                <w:b w:val="0"/>
                <w:sz w:val="18"/>
              </w:rPr>
              <w:t>Final / Task 51 completion evidence</w:t>
            </w:r>
          </w:p>
        </w:tc>
        <w:tc>
          <w:tcPr>
            <w:tcW w:type="dxa" w:w="2459"/>
            <w:vAlign w:val="top"/>
          </w:tcPr>
          <w:p>
            <w:pPr>
              <w:spacing w:after="0"/>
            </w:pPr>
            <w:r/>
            <w:r>
              <w:rPr>
                <w:b/>
                <w:sz w:val="18"/>
              </w:rPr>
              <w:t>Current as of</w:t>
            </w:r>
          </w:p>
        </w:tc>
        <w:tc>
          <w:tcPr>
            <w:tcW w:type="dxa" w:w="2459"/>
            <w:vAlign w:val="top"/>
          </w:tcPr>
          <w:p>
            <w:pPr>
              <w:spacing w:after="0"/>
            </w:pPr>
            <w:r/>
            <w:r>
              <w:rPr>
                <w:b w:val="0"/>
                <w:sz w:val="18"/>
              </w:rPr>
              <w:t>4 October 2026</w:t>
            </w:r>
          </w:p>
        </w:tc>
      </w:tr>
    </w:tbl>
    <w:p>
      <w:pPr>
        <w:spacing w:after="0"/>
      </w:pPr>
    </w:p>
    <w:p>
      <w:pPr>
        <w:pStyle w:val="Heading1"/>
        <w:keepNext/>
      </w:pPr>
      <w:r>
        <w:t>1. Purpose and closeout context</w:t>
      </w:r>
    </w:p>
    <w:p>
      <w:pPr>
        <w:spacing w:after="140"/>
      </w:pPr>
      <w:r>
        <w:rPr>
          <w:i w:val="0"/>
        </w:rPr>
        <w:t>This record closes Sprint 2 governance for Team 74 by consolidating the final Core MVP evidence, stakeholder decisions, Week 3 validation/fix results, remaining environment-level dependencies and the exact items handed into Sprint 3. It reflects the completed Sprint 2 Week 3 Planner work and the current project position at closeout.</w:t>
      </w:r>
    </w:p>
    <w:p>
      <w:pPr>
        <w:spacing w:after="140"/>
      </w:pPr>
      <w:r>
        <w:rPr>
          <w:i w:val="0"/>
        </w:rPr>
        <w:t>Sprint 2 has delivered the representative reusable OAPA Academy learner journey that was committed at the end of Sprint 1. All non-access-blocked Sprint 2 work is treated as complete. Items that still require OAPA-controlled site-level capability are not misrepresented as completed implementation; they are explicitly carried into Sprint 3 with evidence, owners and a defined route for completion.</w:t>
      </w:r>
    </w:p>
    <w:tbl>
      <w:tblPr>
        <w:tblStyle w:val="TableGrid"/>
        <w:tblW w:type="auto" w:w="0"/>
        <w:tblLook w:firstColumn="1" w:firstRow="1" w:lastColumn="0" w:lastRow="0" w:noHBand="0" w:noVBand="1" w:val="04A0"/>
      </w:tblPr>
      <w:tblGrid>
        <w:gridCol w:w="9835"/>
      </w:tblGrid>
      <w:tr>
        <w:tc>
          <w:tcPr>
            <w:tcW w:type="dxa" w:w="9835"/>
            <w:shd w:fill="F2F2F2"/>
          </w:tcPr>
          <w:p>
            <w:pPr>
              <w:spacing w:after="0"/>
            </w:pPr>
            <w:r/>
            <w:r>
              <w:rPr>
                <w:i/>
                <w:sz w:val="19"/>
              </w:rPr>
              <w:t>Scope control: Sprint 2 closes on the agreed Core MVP. The remaining work is refinement and environment-level completion, not a new feature-expansion sprint. The isolated/sanitised Academy copy and relevant site-level capability are the active external dependency for the remaining attendance, branding and navigation/accessibility implementation.</w:t>
            </w:r>
          </w:p>
        </w:tc>
      </w:tr>
    </w:tbl>
    <w:p>
      <w:pPr>
        <w:spacing w:after="0"/>
      </w:pPr>
    </w:p>
    <w:p>
      <w:pPr>
        <w:pStyle w:val="Heading1"/>
        <w:keepNext/>
      </w:pPr>
      <w:r>
        <w:t>2. Sprint 2 final delivery position</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944"/>
            <w:vAlign w:val="top"/>
            <w:shd w:fill="D9D9D9"/>
          </w:tcPr>
          <w:p>
            <w:pPr>
              <w:spacing w:after="0"/>
            </w:pPr>
            <w:r/>
            <w:r>
              <w:rPr>
                <w:b/>
                <w:sz w:val="15"/>
              </w:rPr>
              <w:t>Closeout area</w:t>
            </w:r>
          </w:p>
        </w:tc>
        <w:tc>
          <w:tcPr>
            <w:tcW w:type="dxa" w:w="1656"/>
            <w:vAlign w:val="top"/>
            <w:shd w:fill="D9D9D9"/>
          </w:tcPr>
          <w:p>
            <w:pPr>
              <w:spacing w:after="0"/>
            </w:pPr>
            <w:r/>
            <w:r>
              <w:rPr>
                <w:b/>
                <w:sz w:val="15"/>
              </w:rPr>
              <w:t>Final status</w:t>
            </w:r>
          </w:p>
        </w:tc>
        <w:tc>
          <w:tcPr>
            <w:tcW w:type="dxa" w:w="3672"/>
            <w:vAlign w:val="top"/>
            <w:shd w:fill="D9D9D9"/>
          </w:tcPr>
          <w:p>
            <w:pPr>
              <w:spacing w:after="0"/>
            </w:pPr>
            <w:r/>
            <w:r>
              <w:rPr>
                <w:b/>
                <w:sz w:val="15"/>
              </w:rPr>
              <w:t>Evidence / current state</w:t>
            </w:r>
          </w:p>
        </w:tc>
        <w:tc>
          <w:tcPr>
            <w:tcW w:type="dxa" w:w="2232"/>
            <w:vAlign w:val="top"/>
            <w:shd w:fill="D9D9D9"/>
          </w:tcPr>
          <w:p>
            <w:pPr>
              <w:spacing w:after="0"/>
            </w:pPr>
            <w:r/>
            <w:r>
              <w:rPr>
                <w:b/>
                <w:sz w:val="15"/>
              </w:rPr>
              <w:t>Sprint 3 treatment</w:t>
            </w:r>
          </w:p>
        </w:tc>
      </w:tr>
      <w:tr>
        <w:tc>
          <w:tcPr>
            <w:tcW w:type="dxa" w:w="1944"/>
            <w:vAlign w:val="top"/>
          </w:tcPr>
          <w:p>
            <w:pPr>
              <w:spacing w:after="0"/>
            </w:pPr>
            <w:r/>
            <w:r>
              <w:rPr>
                <w:b w:val="0"/>
                <w:sz w:val="15"/>
              </w:rPr>
              <w:t>Reusable course framework</w:t>
            </w:r>
          </w:p>
        </w:tc>
        <w:tc>
          <w:tcPr>
            <w:tcW w:type="dxa" w:w="1656"/>
            <w:vAlign w:val="top"/>
          </w:tcPr>
          <w:p>
            <w:pPr>
              <w:spacing w:after="0"/>
            </w:pPr>
            <w:r/>
            <w:r>
              <w:rPr>
                <w:b w:val="0"/>
                <w:sz w:val="15"/>
              </w:rPr>
              <w:t>Delivered / working</w:t>
            </w:r>
          </w:p>
        </w:tc>
        <w:tc>
          <w:tcPr>
            <w:tcW w:type="dxa" w:w="3672"/>
            <w:vAlign w:val="top"/>
          </w:tcPr>
          <w:p>
            <w:pPr>
              <w:spacing w:after="0"/>
            </w:pPr>
            <w:r/>
            <w:r>
              <w:rPr>
                <w:b w:val="0"/>
                <w:sz w:val="15"/>
              </w:rPr>
              <w:t>Course Home, Modules 1-3, Workshops 1-3 and Assessment are implemented in Team 74 - Course Development as the representative reusable pattern.</w:t>
            </w:r>
          </w:p>
        </w:tc>
        <w:tc>
          <w:tcPr>
            <w:tcW w:type="dxa" w:w="2232"/>
            <w:vAlign w:val="top"/>
          </w:tcPr>
          <w:p>
            <w:pPr>
              <w:spacing w:after="0"/>
            </w:pPr>
            <w:r/>
            <w:r>
              <w:rPr>
                <w:b w:val="0"/>
                <w:sz w:val="15"/>
              </w:rPr>
              <w:t>Carry forward only reuse hardening/documentation.</w:t>
            </w:r>
          </w:p>
        </w:tc>
      </w:tr>
      <w:tr>
        <w:tc>
          <w:tcPr>
            <w:tcW w:type="dxa" w:w="1944"/>
            <w:vAlign w:val="top"/>
          </w:tcPr>
          <w:p>
            <w:pPr>
              <w:spacing w:after="0"/>
            </w:pPr>
            <w:r/>
            <w:r>
              <w:rPr>
                <w:b w:val="0"/>
                <w:sz w:val="15"/>
              </w:rPr>
              <w:t>Sequential learner progression</w:t>
            </w:r>
          </w:p>
        </w:tc>
        <w:tc>
          <w:tcPr>
            <w:tcW w:type="dxa" w:w="1656"/>
            <w:vAlign w:val="top"/>
          </w:tcPr>
          <w:p>
            <w:pPr>
              <w:spacing w:after="0"/>
            </w:pPr>
            <w:r/>
            <w:r>
              <w:rPr>
                <w:b w:val="0"/>
                <w:sz w:val="15"/>
              </w:rPr>
              <w:t>Delivered / working</w:t>
            </w:r>
          </w:p>
        </w:tc>
        <w:tc>
          <w:tcPr>
            <w:tcW w:type="dxa" w:w="3672"/>
            <w:vAlign w:val="top"/>
          </w:tcPr>
          <w:p>
            <w:pPr>
              <w:spacing w:after="0"/>
            </w:pPr>
            <w:r/>
            <w:r>
              <w:rPr>
                <w:b w:val="0"/>
                <w:sz w:val="15"/>
              </w:rPr>
              <w:t>Completion and restricted-access behaviour has been demonstrated in Student view with visible locked/unlocked states.</w:t>
            </w:r>
          </w:p>
        </w:tc>
        <w:tc>
          <w:tcPr>
            <w:tcW w:type="dxa" w:w="2232"/>
            <w:vAlign w:val="top"/>
          </w:tcPr>
          <w:p>
            <w:pPr>
              <w:spacing w:after="0"/>
            </w:pPr>
            <w:r/>
            <w:r>
              <w:rPr>
                <w:b w:val="0"/>
                <w:sz w:val="15"/>
              </w:rPr>
              <w:t>Regression-test after site-level refinements.</w:t>
            </w:r>
          </w:p>
        </w:tc>
      </w:tr>
      <w:tr>
        <w:tc>
          <w:tcPr>
            <w:tcW w:type="dxa" w:w="1944"/>
            <w:vAlign w:val="top"/>
          </w:tcPr>
          <w:p>
            <w:pPr>
              <w:spacing w:after="0"/>
            </w:pPr>
            <w:r/>
            <w:r>
              <w:rPr>
                <w:b w:val="0"/>
                <w:sz w:val="15"/>
              </w:rPr>
              <w:t>Workshop eligibility logic</w:t>
            </w:r>
          </w:p>
        </w:tc>
        <w:tc>
          <w:tcPr>
            <w:tcW w:type="dxa" w:w="1656"/>
            <w:vAlign w:val="top"/>
          </w:tcPr>
          <w:p>
            <w:pPr>
              <w:spacing w:after="0"/>
            </w:pPr>
            <w:r/>
            <w:r>
              <w:rPr>
                <w:b w:val="0"/>
                <w:sz w:val="15"/>
              </w:rPr>
              <w:t>Delivered / logic working</w:t>
            </w:r>
          </w:p>
        </w:tc>
        <w:tc>
          <w:tcPr>
            <w:tcW w:type="dxa" w:w="3672"/>
            <w:vAlign w:val="top"/>
          </w:tcPr>
          <w:p>
            <w:pPr>
              <w:spacing w:after="0"/>
            </w:pPr>
            <w:r/>
            <w:r>
              <w:rPr>
                <w:b w:val="0"/>
                <w:sz w:val="15"/>
              </w:rPr>
              <w:t>Any valid two-of-three workshop combination can satisfy the existing Assessment restriction logic.</w:t>
            </w:r>
          </w:p>
        </w:tc>
        <w:tc>
          <w:tcPr>
            <w:tcW w:type="dxa" w:w="2232"/>
            <w:vAlign w:val="top"/>
          </w:tcPr>
          <w:p>
            <w:pPr>
              <w:spacing w:after="0"/>
            </w:pPr>
            <w:r/>
            <w:r>
              <w:rPr>
                <w:b w:val="0"/>
                <w:sz w:val="15"/>
              </w:rPr>
              <w:t>Replace the interim completion source with the final verified attendance mechanism in Sprint 3.</w:t>
            </w:r>
          </w:p>
        </w:tc>
      </w:tr>
      <w:tr>
        <w:tc>
          <w:tcPr>
            <w:tcW w:type="dxa" w:w="1944"/>
            <w:vAlign w:val="top"/>
          </w:tcPr>
          <w:p>
            <w:pPr>
              <w:spacing w:after="0"/>
            </w:pPr>
            <w:r/>
            <w:r>
              <w:rPr>
                <w:b w:val="0"/>
                <w:sz w:val="15"/>
              </w:rPr>
              <w:t>Workshop attendance source</w:t>
            </w:r>
          </w:p>
        </w:tc>
        <w:tc>
          <w:tcPr>
            <w:tcW w:type="dxa" w:w="1656"/>
            <w:vAlign w:val="top"/>
          </w:tcPr>
          <w:p>
            <w:pPr>
              <w:spacing w:after="0"/>
            </w:pPr>
            <w:r/>
            <w:r>
              <w:rPr>
                <w:b w:val="0"/>
                <w:sz w:val="15"/>
              </w:rPr>
              <w:t>Open / site-level dependency</w:t>
            </w:r>
          </w:p>
        </w:tc>
        <w:tc>
          <w:tcPr>
            <w:tcW w:type="dxa" w:w="3672"/>
            <w:vAlign w:val="top"/>
          </w:tcPr>
          <w:p>
            <w:pPr>
              <w:spacing w:after="0"/>
            </w:pPr>
            <w:r/>
            <w:r>
              <w:rPr>
                <w:b w:val="0"/>
                <w:sz w:val="15"/>
              </w:rPr>
              <w:t>Client requires verifiable MS Teams attendance, preferably automated where supported, with facilitator override.</w:t>
            </w:r>
          </w:p>
        </w:tc>
        <w:tc>
          <w:tcPr>
            <w:tcW w:type="dxa" w:w="2232"/>
            <w:vAlign w:val="top"/>
          </w:tcPr>
          <w:p>
            <w:pPr>
              <w:spacing w:after="0"/>
            </w:pPr>
            <w:r/>
            <w:r>
              <w:rPr>
                <w:b w:val="0"/>
                <w:sz w:val="15"/>
              </w:rPr>
              <w:t>Complete once isolated copy/integration capability is available.</w:t>
            </w:r>
          </w:p>
        </w:tc>
      </w:tr>
      <w:tr>
        <w:tc>
          <w:tcPr>
            <w:tcW w:type="dxa" w:w="1944"/>
            <w:vAlign w:val="top"/>
          </w:tcPr>
          <w:p>
            <w:pPr>
              <w:spacing w:after="0"/>
            </w:pPr>
            <w:r/>
            <w:r>
              <w:rPr>
                <w:b w:val="0"/>
                <w:sz w:val="15"/>
              </w:rPr>
              <w:t>Assessment workflow</w:t>
            </w:r>
          </w:p>
        </w:tc>
        <w:tc>
          <w:tcPr>
            <w:tcW w:type="dxa" w:w="1656"/>
            <w:vAlign w:val="top"/>
          </w:tcPr>
          <w:p>
            <w:pPr>
              <w:spacing w:after="0"/>
            </w:pPr>
            <w:r/>
            <w:r>
              <w:rPr>
                <w:b w:val="0"/>
                <w:sz w:val="15"/>
              </w:rPr>
              <w:t>Delivered / validated representative flow</w:t>
            </w:r>
          </w:p>
        </w:tc>
        <w:tc>
          <w:tcPr>
            <w:tcW w:type="dxa" w:w="3672"/>
            <w:vAlign w:val="top"/>
          </w:tcPr>
          <w:p>
            <w:pPr>
              <w:spacing w:after="0"/>
            </w:pPr>
            <w:r/>
            <w:r>
              <w:rPr>
                <w:b w:val="0"/>
                <w:sz w:val="15"/>
              </w:rPr>
              <w:t>Soft feedback/revision, final submission, extension and grade-visibility behaviour have been implemented/tested to the current Academy capability and documented through Week 2-3 evidence.</w:t>
            </w:r>
          </w:p>
        </w:tc>
        <w:tc>
          <w:tcPr>
            <w:tcW w:type="dxa" w:w="2232"/>
            <w:vAlign w:val="top"/>
          </w:tcPr>
          <w:p>
            <w:pPr>
              <w:spacing w:after="0"/>
            </w:pPr>
            <w:r/>
            <w:r>
              <w:rPr>
                <w:b w:val="0"/>
                <w:sz w:val="15"/>
              </w:rPr>
              <w:t>Final regression alongside verified attendance/eligibility.</w:t>
            </w:r>
          </w:p>
        </w:tc>
      </w:tr>
      <w:tr>
        <w:tc>
          <w:tcPr>
            <w:tcW w:type="dxa" w:w="1944"/>
            <w:vAlign w:val="top"/>
          </w:tcPr>
          <w:p>
            <w:pPr>
              <w:spacing w:after="0"/>
            </w:pPr>
            <w:r/>
            <w:r>
              <w:rPr>
                <w:b w:val="0"/>
                <w:sz w:val="15"/>
              </w:rPr>
              <w:t>Self-check / interactivity</w:t>
            </w:r>
          </w:p>
        </w:tc>
        <w:tc>
          <w:tcPr>
            <w:tcW w:type="dxa" w:w="1656"/>
            <w:vAlign w:val="top"/>
          </w:tcPr>
          <w:p>
            <w:pPr>
              <w:spacing w:after="0"/>
            </w:pPr>
            <w:r/>
            <w:r>
              <w:rPr>
                <w:b w:val="0"/>
                <w:sz w:val="15"/>
              </w:rPr>
              <w:t>Delivered with native fallback</w:t>
            </w:r>
          </w:p>
        </w:tc>
        <w:tc>
          <w:tcPr>
            <w:tcW w:type="dxa" w:w="3672"/>
            <w:vAlign w:val="top"/>
          </w:tcPr>
          <w:p>
            <w:pPr>
              <w:spacing w:after="0"/>
            </w:pPr>
            <w:r/>
            <w:r>
              <w:rPr>
                <w:b w:val="0"/>
                <w:sz w:val="15"/>
              </w:rPr>
              <w:t>Moodle-native Quiz/self-check supports the Core MVP. H5P remains optional and does not block delivery; final H5P/native-fallback position is documented by Dev 2.</w:t>
            </w:r>
          </w:p>
        </w:tc>
        <w:tc>
          <w:tcPr>
            <w:tcW w:type="dxa" w:w="2232"/>
            <w:vAlign w:val="top"/>
          </w:tcPr>
          <w:p>
            <w:pPr>
              <w:spacing w:after="0"/>
            </w:pPr>
            <w:r/>
            <w:r>
              <w:rPr>
                <w:b w:val="0"/>
                <w:sz w:val="15"/>
              </w:rPr>
              <w:t>Retain native pattern unless OAPA chooses H5P.</w:t>
            </w:r>
          </w:p>
        </w:tc>
      </w:tr>
      <w:tr>
        <w:tc>
          <w:tcPr>
            <w:tcW w:type="dxa" w:w="1944"/>
            <w:vAlign w:val="top"/>
          </w:tcPr>
          <w:p>
            <w:pPr>
              <w:spacing w:after="0"/>
            </w:pPr>
            <w:r/>
            <w:r>
              <w:rPr>
                <w:b w:val="0"/>
                <w:sz w:val="15"/>
              </w:rPr>
              <w:t>Completion / tracking / reporting</w:t>
            </w:r>
          </w:p>
        </w:tc>
        <w:tc>
          <w:tcPr>
            <w:tcW w:type="dxa" w:w="1656"/>
            <w:vAlign w:val="top"/>
          </w:tcPr>
          <w:p>
            <w:pPr>
              <w:spacing w:after="0"/>
            </w:pPr>
            <w:r/>
            <w:r>
              <w:rPr>
                <w:b w:val="0"/>
                <w:sz w:val="15"/>
              </w:rPr>
              <w:t>Delivered at current role capability</w:t>
            </w:r>
          </w:p>
        </w:tc>
        <w:tc>
          <w:tcPr>
            <w:tcW w:type="dxa" w:w="3672"/>
            <w:vAlign w:val="top"/>
          </w:tcPr>
          <w:p>
            <w:pPr>
              <w:spacing w:after="0"/>
            </w:pPr>
            <w:r/>
            <w:r>
              <w:rPr>
                <w:b w:val="0"/>
                <w:sz w:val="15"/>
              </w:rPr>
              <w:t>Student completion/progress and staff-side evidence were cross-tested through the Sprint 2 QA tasks.</w:t>
            </w:r>
          </w:p>
        </w:tc>
        <w:tc>
          <w:tcPr>
            <w:tcW w:type="dxa" w:w="2232"/>
            <w:vAlign w:val="top"/>
          </w:tcPr>
          <w:p>
            <w:pPr>
              <w:spacing w:after="0"/>
            </w:pPr>
            <w:r/>
            <w:r>
              <w:rPr>
                <w:b w:val="0"/>
                <w:sz w:val="15"/>
              </w:rPr>
              <w:t>Final release regression in Sprint 3.</w:t>
            </w:r>
          </w:p>
        </w:tc>
      </w:tr>
      <w:tr>
        <w:tc>
          <w:tcPr>
            <w:tcW w:type="dxa" w:w="1944"/>
            <w:vAlign w:val="top"/>
          </w:tcPr>
          <w:p>
            <w:pPr>
              <w:spacing w:after="0"/>
            </w:pPr>
            <w:r/>
            <w:r>
              <w:rPr>
                <w:b w:val="0"/>
                <w:sz w:val="15"/>
              </w:rPr>
              <w:t>OAPA branding / fonts</w:t>
            </w:r>
          </w:p>
        </w:tc>
        <w:tc>
          <w:tcPr>
            <w:tcW w:type="dxa" w:w="1656"/>
            <w:vAlign w:val="top"/>
          </w:tcPr>
          <w:p>
            <w:pPr>
              <w:spacing w:after="0"/>
            </w:pPr>
            <w:r/>
            <w:r>
              <w:rPr>
                <w:b w:val="0"/>
                <w:sz w:val="15"/>
              </w:rPr>
              <w:t>Open / site-level dependency</w:t>
            </w:r>
          </w:p>
        </w:tc>
        <w:tc>
          <w:tcPr>
            <w:tcW w:type="dxa" w:w="3672"/>
            <w:vAlign w:val="top"/>
          </w:tcPr>
          <w:p>
            <w:pPr>
              <w:spacing w:after="0"/>
            </w:pPr>
            <w:r/>
            <w:r>
              <w:rPr>
                <w:b w:val="0"/>
                <w:sz w:val="15"/>
              </w:rPr>
              <w:t>Brand Book rules are defined and UX handoff is complete; Newsreader/Archivo and Academy-wide theme treatment require site-level support.</w:t>
            </w:r>
          </w:p>
        </w:tc>
        <w:tc>
          <w:tcPr>
            <w:tcW w:type="dxa" w:w="2232"/>
            <w:vAlign w:val="top"/>
          </w:tcPr>
          <w:p>
            <w:pPr>
              <w:spacing w:after="0"/>
            </w:pPr>
            <w:r/>
            <w:r>
              <w:rPr>
                <w:b w:val="0"/>
                <w:sz w:val="15"/>
              </w:rPr>
              <w:t>Implement in isolated copy when capability is provided.</w:t>
            </w:r>
          </w:p>
        </w:tc>
      </w:tr>
      <w:tr>
        <w:tc>
          <w:tcPr>
            <w:tcW w:type="dxa" w:w="1944"/>
            <w:vAlign w:val="top"/>
          </w:tcPr>
          <w:p>
            <w:pPr>
              <w:spacing w:after="0"/>
            </w:pPr>
            <w:r/>
            <w:r>
              <w:rPr>
                <w:b w:val="0"/>
                <w:sz w:val="15"/>
              </w:rPr>
              <w:t>Navigation / accessibility refinements</w:t>
            </w:r>
          </w:p>
        </w:tc>
        <w:tc>
          <w:tcPr>
            <w:tcW w:type="dxa" w:w="1656"/>
            <w:vAlign w:val="top"/>
          </w:tcPr>
          <w:p>
            <w:pPr>
              <w:spacing w:after="0"/>
            </w:pPr>
            <w:r/>
            <w:r>
              <w:rPr>
                <w:b w:val="0"/>
                <w:sz w:val="15"/>
              </w:rPr>
              <w:t>Partially complete / site-level remainder</w:t>
            </w:r>
          </w:p>
        </w:tc>
        <w:tc>
          <w:tcPr>
            <w:tcW w:type="dxa" w:w="3672"/>
            <w:vAlign w:val="top"/>
          </w:tcPr>
          <w:p>
            <w:pPr>
              <w:spacing w:after="0"/>
            </w:pPr>
            <w:r/>
            <w:r>
              <w:rPr>
                <w:b w:val="0"/>
                <w:sz w:val="15"/>
              </w:rPr>
              <w:t>Course-level UX/accessibility review and fixes are complete; remaining site-level navigation refinements require the isolated environment.</w:t>
            </w:r>
          </w:p>
        </w:tc>
        <w:tc>
          <w:tcPr>
            <w:tcW w:type="dxa" w:w="2232"/>
            <w:vAlign w:val="top"/>
          </w:tcPr>
          <w:p>
            <w:pPr>
              <w:spacing w:after="0"/>
            </w:pPr>
            <w:r/>
            <w:r>
              <w:rPr>
                <w:b w:val="0"/>
                <w:sz w:val="15"/>
              </w:rPr>
              <w:t>Implement and regression-test in Sprint 3.</w:t>
            </w:r>
          </w:p>
        </w:tc>
      </w:tr>
      <w:tr>
        <w:tc>
          <w:tcPr>
            <w:tcW w:type="dxa" w:w="1944"/>
            <w:vAlign w:val="top"/>
          </w:tcPr>
          <w:p>
            <w:pPr>
              <w:spacing w:after="0"/>
            </w:pPr>
            <w:r/>
            <w:r>
              <w:rPr>
                <w:b w:val="0"/>
                <w:sz w:val="15"/>
              </w:rPr>
              <w:t>Reuse / admin handoff</w:t>
            </w:r>
          </w:p>
        </w:tc>
        <w:tc>
          <w:tcPr>
            <w:tcW w:type="dxa" w:w="1656"/>
            <w:vAlign w:val="top"/>
          </w:tcPr>
          <w:p>
            <w:pPr>
              <w:spacing w:after="0"/>
            </w:pPr>
            <w:r/>
            <w:r>
              <w:rPr>
                <w:b w:val="0"/>
                <w:sz w:val="15"/>
              </w:rPr>
              <w:t>Delivered as documented workflow</w:t>
            </w:r>
          </w:p>
        </w:tc>
        <w:tc>
          <w:tcPr>
            <w:tcW w:type="dxa" w:w="3672"/>
            <w:vAlign w:val="top"/>
          </w:tcPr>
          <w:p>
            <w:pPr>
              <w:spacing w:after="0"/>
            </w:pPr>
            <w:r/>
            <w:r>
              <w:rPr>
                <w:b w:val="0"/>
                <w:sz w:val="15"/>
              </w:rPr>
              <w:t>Content-expert steps and OAPA-admin handoff boundaries are documented; reuse is to be proven on a copy without altering the master pattern.</w:t>
            </w:r>
          </w:p>
        </w:tc>
        <w:tc>
          <w:tcPr>
            <w:tcW w:type="dxa" w:w="2232"/>
            <w:vAlign w:val="top"/>
          </w:tcPr>
          <w:p>
            <w:pPr>
              <w:spacing w:after="0"/>
            </w:pPr>
            <w:r/>
            <w:r>
              <w:rPr>
                <w:b w:val="0"/>
                <w:sz w:val="15"/>
              </w:rPr>
              <w:t>Re-verify in isolated copy during Sprint 3.</w:t>
            </w:r>
          </w:p>
        </w:tc>
      </w:tr>
    </w:tbl>
    <w:p>
      <w:pPr>
        <w:spacing w:after="0"/>
      </w:pPr>
    </w:p>
    <w:p>
      <w:pPr>
        <w:pStyle w:val="Heading1"/>
        <w:keepNext/>
      </w:pPr>
      <w:r>
        <w:t>3. Week 3 evidence consolidation</w:t>
      </w:r>
    </w:p>
    <w:tbl>
      <w:tblPr>
        <w:tblStyle w:val="TableGrid"/>
        <w:tblW w:type="auto" w:w="0"/>
        <w:jc w:val="center"/>
        <w:tblLook w:firstColumn="1" w:firstRow="1" w:lastColumn="0" w:lastRow="0" w:noHBand="0" w:noVBand="1" w:val="04A0"/>
      </w:tblPr>
      <w:tblGrid>
        <w:gridCol w:w="1967"/>
        <w:gridCol w:w="1967"/>
        <w:gridCol w:w="1967"/>
        <w:gridCol w:w="1967"/>
        <w:gridCol w:w="1967"/>
      </w:tblGrid>
      <w:tr>
        <w:tc>
          <w:tcPr>
            <w:tcW w:type="dxa" w:w="792"/>
            <w:vAlign w:val="top"/>
            <w:shd w:fill="D9D9D9"/>
          </w:tcPr>
          <w:p>
            <w:pPr>
              <w:spacing w:after="0"/>
            </w:pPr>
            <w:r/>
            <w:r>
              <w:rPr>
                <w:b/>
                <w:sz w:val="15"/>
              </w:rPr>
              <w:t>Tasks</w:t>
            </w:r>
          </w:p>
        </w:tc>
        <w:tc>
          <w:tcPr>
            <w:tcW w:type="dxa" w:w="1728"/>
            <w:vAlign w:val="top"/>
            <w:shd w:fill="D9D9D9"/>
          </w:tcPr>
          <w:p>
            <w:pPr>
              <w:spacing w:after="0"/>
            </w:pPr>
            <w:r/>
            <w:r>
              <w:rPr>
                <w:b/>
                <w:sz w:val="15"/>
              </w:rPr>
              <w:t>Owner</w:t>
            </w:r>
          </w:p>
        </w:tc>
        <w:tc>
          <w:tcPr>
            <w:tcW w:type="dxa" w:w="2088"/>
            <w:vAlign w:val="top"/>
            <w:shd w:fill="D9D9D9"/>
          </w:tcPr>
          <w:p>
            <w:pPr>
              <w:spacing w:after="0"/>
            </w:pPr>
            <w:r/>
            <w:r>
              <w:rPr>
                <w:b/>
                <w:sz w:val="15"/>
              </w:rPr>
              <w:t>Work package</w:t>
            </w:r>
          </w:p>
        </w:tc>
        <w:tc>
          <w:tcPr>
            <w:tcW w:type="dxa" w:w="4536"/>
            <w:vAlign w:val="top"/>
            <w:shd w:fill="D9D9D9"/>
          </w:tcPr>
          <w:p>
            <w:pPr>
              <w:spacing w:after="0"/>
            </w:pPr>
            <w:r/>
            <w:r>
              <w:rPr>
                <w:b/>
                <w:sz w:val="15"/>
              </w:rPr>
              <w:t>Closeout evidence position</w:t>
            </w:r>
          </w:p>
        </w:tc>
        <w:tc>
          <w:tcPr>
            <w:tcW w:type="dxa" w:w="1008"/>
            <w:vAlign w:val="top"/>
            <w:shd w:fill="D9D9D9"/>
          </w:tcPr>
          <w:p>
            <w:pPr>
              <w:spacing w:after="0"/>
            </w:pPr>
            <w:r/>
            <w:r>
              <w:rPr>
                <w:b/>
                <w:sz w:val="15"/>
              </w:rPr>
              <w:t>Status</w:t>
            </w:r>
          </w:p>
        </w:tc>
      </w:tr>
      <w:tr>
        <w:tc>
          <w:tcPr>
            <w:tcW w:type="dxa" w:w="792"/>
            <w:vAlign w:val="top"/>
          </w:tcPr>
          <w:p>
            <w:pPr>
              <w:spacing w:after="0"/>
            </w:pPr>
            <w:r/>
            <w:r>
              <w:rPr>
                <w:b w:val="0"/>
                <w:sz w:val="15"/>
              </w:rPr>
              <w:t>T51</w:t>
            </w:r>
          </w:p>
        </w:tc>
        <w:tc>
          <w:tcPr>
            <w:tcW w:type="dxa" w:w="1728"/>
            <w:vAlign w:val="top"/>
          </w:tcPr>
          <w:p>
            <w:pPr>
              <w:spacing w:after="0"/>
            </w:pPr>
            <w:r/>
            <w:r>
              <w:rPr>
                <w:b w:val="0"/>
                <w:sz w:val="15"/>
              </w:rPr>
              <w:t>Aryan Rajendra / PM</w:t>
            </w:r>
          </w:p>
        </w:tc>
        <w:tc>
          <w:tcPr>
            <w:tcW w:type="dxa" w:w="2088"/>
            <w:vAlign w:val="top"/>
          </w:tcPr>
          <w:p>
            <w:pPr>
              <w:spacing w:after="0"/>
            </w:pPr>
            <w:r/>
            <w:r>
              <w:rPr>
                <w:b w:val="0"/>
                <w:sz w:val="15"/>
              </w:rPr>
              <w:t>Governance and evidence closeout</w:t>
            </w:r>
          </w:p>
        </w:tc>
        <w:tc>
          <w:tcPr>
            <w:tcW w:type="dxa" w:w="4536"/>
            <w:vAlign w:val="top"/>
          </w:tcPr>
          <w:p>
            <w:pPr>
              <w:spacing w:after="0"/>
            </w:pPr>
            <w:r/>
            <w:r>
              <w:rPr>
                <w:b w:val="0"/>
                <w:sz w:val="15"/>
              </w:rPr>
              <w:t>This record consolidates final Sprint 2 delivery, decisions, defects, dependencies and evidence position.</w:t>
            </w:r>
          </w:p>
        </w:tc>
        <w:tc>
          <w:tcPr>
            <w:tcW w:type="dxa" w:w="1008"/>
            <w:vAlign w:val="top"/>
          </w:tcPr>
          <w:p>
            <w:pPr>
              <w:spacing w:after="0"/>
            </w:pPr>
            <w:r/>
            <w:r>
              <w:rPr>
                <w:b w:val="0"/>
                <w:sz w:val="15"/>
              </w:rPr>
              <w:t>Complete</w:t>
            </w:r>
          </w:p>
        </w:tc>
      </w:tr>
      <w:tr>
        <w:tc>
          <w:tcPr>
            <w:tcW w:type="dxa" w:w="792"/>
            <w:vAlign w:val="top"/>
          </w:tcPr>
          <w:p>
            <w:pPr>
              <w:spacing w:after="0"/>
            </w:pPr>
            <w:r/>
            <w:r>
              <w:rPr>
                <w:b w:val="0"/>
                <w:sz w:val="15"/>
              </w:rPr>
              <w:t>T52</w:t>
            </w:r>
          </w:p>
        </w:tc>
        <w:tc>
          <w:tcPr>
            <w:tcW w:type="dxa" w:w="1728"/>
            <w:vAlign w:val="top"/>
          </w:tcPr>
          <w:p>
            <w:pPr>
              <w:spacing w:after="0"/>
            </w:pPr>
            <w:r/>
            <w:r>
              <w:rPr>
                <w:b w:val="0"/>
                <w:sz w:val="15"/>
              </w:rPr>
              <w:t>Aryan Rajendra / PM</w:t>
            </w:r>
          </w:p>
        </w:tc>
        <w:tc>
          <w:tcPr>
            <w:tcW w:type="dxa" w:w="2088"/>
            <w:vAlign w:val="top"/>
          </w:tcPr>
          <w:p>
            <w:pPr>
              <w:spacing w:after="0"/>
            </w:pPr>
            <w:r/>
            <w:r>
              <w:rPr>
                <w:b w:val="0"/>
                <w:sz w:val="15"/>
              </w:rPr>
              <w:t>Playback and Sprint 3 handover</w:t>
            </w:r>
          </w:p>
        </w:tc>
        <w:tc>
          <w:tcPr>
            <w:tcW w:type="dxa" w:w="4536"/>
            <w:vAlign w:val="top"/>
          </w:tcPr>
          <w:p>
            <w:pPr>
              <w:spacing w:after="0"/>
            </w:pPr>
            <w:r/>
            <w:r>
              <w:rPr>
                <w:b w:val="0"/>
                <w:sz w:val="15"/>
              </w:rPr>
              <w:t>Playback deck, speaker notes and the Sprint 3 refinement plan/backlog prepared with all remaining actions assigned.</w:t>
            </w:r>
          </w:p>
        </w:tc>
        <w:tc>
          <w:tcPr>
            <w:tcW w:type="dxa" w:w="1008"/>
            <w:vAlign w:val="top"/>
          </w:tcPr>
          <w:p>
            <w:pPr>
              <w:spacing w:after="0"/>
            </w:pPr>
            <w:r/>
            <w:r>
              <w:rPr>
                <w:b w:val="0"/>
                <w:sz w:val="15"/>
              </w:rPr>
              <w:t>Complete</w:t>
            </w:r>
          </w:p>
        </w:tc>
      </w:tr>
      <w:tr>
        <w:tc>
          <w:tcPr>
            <w:tcW w:type="dxa" w:w="792"/>
            <w:vAlign w:val="top"/>
          </w:tcPr>
          <w:p>
            <w:pPr>
              <w:spacing w:after="0"/>
            </w:pPr>
            <w:r/>
            <w:r>
              <w:rPr>
                <w:b w:val="0"/>
                <w:sz w:val="15"/>
              </w:rPr>
              <w:t>T53-54</w:t>
            </w:r>
          </w:p>
        </w:tc>
        <w:tc>
          <w:tcPr>
            <w:tcW w:type="dxa" w:w="1728"/>
            <w:vAlign w:val="top"/>
          </w:tcPr>
          <w:p>
            <w:pPr>
              <w:spacing w:after="0"/>
            </w:pPr>
            <w:r/>
            <w:r>
              <w:rPr>
                <w:b w:val="0"/>
                <w:sz w:val="15"/>
              </w:rPr>
              <w:t>Riley Pittard / BA</w:t>
            </w:r>
          </w:p>
        </w:tc>
        <w:tc>
          <w:tcPr>
            <w:tcW w:type="dxa" w:w="2088"/>
            <w:vAlign w:val="top"/>
          </w:tcPr>
          <w:p>
            <w:pPr>
              <w:spacing w:after="0"/>
            </w:pPr>
            <w:r/>
            <w:r>
              <w:rPr>
                <w:b w:val="0"/>
                <w:sz w:val="15"/>
              </w:rPr>
              <w:t>Final acceptance + gap prioritisation</w:t>
            </w:r>
          </w:p>
        </w:tc>
        <w:tc>
          <w:tcPr>
            <w:tcW w:type="dxa" w:w="4536"/>
            <w:vAlign w:val="top"/>
          </w:tcPr>
          <w:p>
            <w:pPr>
              <w:spacing w:after="0"/>
            </w:pPr>
            <w:r/>
            <w:r>
              <w:rPr>
                <w:b w:val="0"/>
                <w:sz w:val="15"/>
              </w:rPr>
              <w:t>Final learner/reuse acceptance review completed; pass/fail/open items and Sprint 3/deferred scope separated.</w:t>
            </w:r>
          </w:p>
        </w:tc>
        <w:tc>
          <w:tcPr>
            <w:tcW w:type="dxa" w:w="1008"/>
            <w:vAlign w:val="top"/>
          </w:tcPr>
          <w:p>
            <w:pPr>
              <w:spacing w:after="0"/>
            </w:pPr>
            <w:r/>
            <w:r>
              <w:rPr>
                <w:b w:val="0"/>
                <w:sz w:val="15"/>
              </w:rPr>
              <w:t>Complete</w:t>
            </w:r>
          </w:p>
        </w:tc>
      </w:tr>
      <w:tr>
        <w:tc>
          <w:tcPr>
            <w:tcW w:type="dxa" w:w="792"/>
            <w:vAlign w:val="top"/>
          </w:tcPr>
          <w:p>
            <w:pPr>
              <w:spacing w:after="0"/>
            </w:pPr>
            <w:r/>
            <w:r>
              <w:rPr>
                <w:b w:val="0"/>
                <w:sz w:val="15"/>
              </w:rPr>
              <w:t>T55-56</w:t>
            </w:r>
          </w:p>
        </w:tc>
        <w:tc>
          <w:tcPr>
            <w:tcW w:type="dxa" w:w="1728"/>
            <w:vAlign w:val="top"/>
          </w:tcPr>
          <w:p>
            <w:pPr>
              <w:spacing w:after="0"/>
            </w:pPr>
            <w:r/>
            <w:r>
              <w:rPr>
                <w:b w:val="0"/>
                <w:sz w:val="15"/>
              </w:rPr>
              <w:t>Walaa Ghanduri / UX</w:t>
            </w:r>
          </w:p>
        </w:tc>
        <w:tc>
          <w:tcPr>
            <w:tcW w:type="dxa" w:w="2088"/>
            <w:vAlign w:val="top"/>
          </w:tcPr>
          <w:p>
            <w:pPr>
              <w:spacing w:after="0"/>
            </w:pPr>
            <w:r/>
            <w:r>
              <w:rPr>
                <w:b w:val="0"/>
                <w:sz w:val="15"/>
              </w:rPr>
              <w:t>Final UX/accessibility + branding/navigation handover</w:t>
            </w:r>
          </w:p>
        </w:tc>
        <w:tc>
          <w:tcPr>
            <w:tcW w:type="dxa" w:w="4536"/>
            <w:vAlign w:val="top"/>
          </w:tcPr>
          <w:p>
            <w:pPr>
              <w:spacing w:after="0"/>
            </w:pPr>
            <w:r/>
            <w:r>
              <w:rPr>
                <w:b w:val="0"/>
                <w:sz w:val="15"/>
              </w:rPr>
              <w:t>Final real-build UX review completed; approved refinement items prepared, including Participants-page refinement evidence and site-level branding/navigation needs.</w:t>
            </w:r>
          </w:p>
        </w:tc>
        <w:tc>
          <w:tcPr>
            <w:tcW w:type="dxa" w:w="1008"/>
            <w:vAlign w:val="top"/>
          </w:tcPr>
          <w:p>
            <w:pPr>
              <w:spacing w:after="0"/>
            </w:pPr>
            <w:r/>
            <w:r>
              <w:rPr>
                <w:b w:val="0"/>
                <w:sz w:val="15"/>
              </w:rPr>
              <w:t>Complete</w:t>
            </w:r>
          </w:p>
        </w:tc>
      </w:tr>
      <w:tr>
        <w:tc>
          <w:tcPr>
            <w:tcW w:type="dxa" w:w="792"/>
            <w:vAlign w:val="top"/>
          </w:tcPr>
          <w:p>
            <w:pPr>
              <w:spacing w:after="0"/>
            </w:pPr>
            <w:r/>
            <w:r>
              <w:rPr>
                <w:b w:val="0"/>
                <w:sz w:val="15"/>
              </w:rPr>
              <w:t>T57-58</w:t>
            </w:r>
          </w:p>
        </w:tc>
        <w:tc>
          <w:tcPr>
            <w:tcW w:type="dxa" w:w="1728"/>
            <w:vAlign w:val="top"/>
          </w:tcPr>
          <w:p>
            <w:pPr>
              <w:spacing w:after="0"/>
            </w:pPr>
            <w:r/>
            <w:r>
              <w:rPr>
                <w:b w:val="0"/>
                <w:sz w:val="15"/>
              </w:rPr>
              <w:t>Reshan Lahandapura / Dev 1</w:t>
            </w:r>
          </w:p>
        </w:tc>
        <w:tc>
          <w:tcPr>
            <w:tcW w:type="dxa" w:w="2088"/>
            <w:vAlign w:val="top"/>
          </w:tcPr>
          <w:p>
            <w:pPr>
              <w:spacing w:after="0"/>
            </w:pPr>
            <w:r/>
            <w:r>
              <w:rPr>
                <w:b w:val="0"/>
                <w:sz w:val="15"/>
              </w:rPr>
              <w:t>Defect fixing/regression + reuse/admin handover</w:t>
            </w:r>
          </w:p>
        </w:tc>
        <w:tc>
          <w:tcPr>
            <w:tcW w:type="dxa" w:w="4536"/>
            <w:vAlign w:val="top"/>
          </w:tcPr>
          <w:p>
            <w:pPr>
              <w:spacing w:after="0"/>
            </w:pPr>
            <w:r/>
            <w:r>
              <w:rPr>
                <w:b w:val="0"/>
                <w:sz w:val="15"/>
              </w:rPr>
              <w:t>Structural/progression/workshop/assessment fixes completed where current access permits; reuse/admin handoff path documented. Task 57 evidence is stored in the Week 3 repository.</w:t>
            </w:r>
          </w:p>
        </w:tc>
        <w:tc>
          <w:tcPr>
            <w:tcW w:type="dxa" w:w="1008"/>
            <w:vAlign w:val="top"/>
          </w:tcPr>
          <w:p>
            <w:pPr>
              <w:spacing w:after="0"/>
            </w:pPr>
            <w:r/>
            <w:r>
              <w:rPr>
                <w:b w:val="0"/>
                <w:sz w:val="15"/>
              </w:rPr>
              <w:t>Complete</w:t>
            </w:r>
          </w:p>
        </w:tc>
      </w:tr>
      <w:tr>
        <w:tc>
          <w:tcPr>
            <w:tcW w:type="dxa" w:w="792"/>
            <w:vAlign w:val="top"/>
          </w:tcPr>
          <w:p>
            <w:pPr>
              <w:spacing w:after="0"/>
            </w:pPr>
            <w:r/>
            <w:r>
              <w:rPr>
                <w:b w:val="0"/>
                <w:sz w:val="15"/>
              </w:rPr>
              <w:t>T59-60</w:t>
            </w:r>
          </w:p>
        </w:tc>
        <w:tc>
          <w:tcPr>
            <w:tcW w:type="dxa" w:w="1728"/>
            <w:vAlign w:val="top"/>
          </w:tcPr>
          <w:p>
            <w:pPr>
              <w:spacing w:after="0"/>
            </w:pPr>
            <w:r/>
            <w:r>
              <w:rPr>
                <w:b w:val="0"/>
                <w:sz w:val="15"/>
              </w:rPr>
              <w:t>Shaikh Zarin Tasnim / Dev 2</w:t>
            </w:r>
          </w:p>
        </w:tc>
        <w:tc>
          <w:tcPr>
            <w:tcW w:type="dxa" w:w="2088"/>
            <w:vAlign w:val="top"/>
          </w:tcPr>
          <w:p>
            <w:pPr>
              <w:spacing w:after="0"/>
            </w:pPr>
            <w:r/>
            <w:r>
              <w:rPr>
                <w:b w:val="0"/>
                <w:sz w:val="15"/>
              </w:rPr>
              <w:t>Independent regression + quality closeout</w:t>
            </w:r>
          </w:p>
        </w:tc>
        <w:tc>
          <w:tcPr>
            <w:tcW w:type="dxa" w:w="4536"/>
            <w:vAlign w:val="top"/>
          </w:tcPr>
          <w:p>
            <w:pPr>
              <w:spacing w:after="0"/>
            </w:pPr>
            <w:r/>
            <w:r>
              <w:rPr>
                <w:b w:val="0"/>
                <w:sz w:val="15"/>
              </w:rPr>
              <w:t>Final browser/device/accessibility/regression and interactivity/tracking quality closeout completed against the current environment, with remaining site-level assumptions explicitly recorded.</w:t>
            </w:r>
          </w:p>
        </w:tc>
        <w:tc>
          <w:tcPr>
            <w:tcW w:type="dxa" w:w="1008"/>
            <w:vAlign w:val="top"/>
          </w:tcPr>
          <w:p>
            <w:pPr>
              <w:spacing w:after="0"/>
            </w:pPr>
            <w:r/>
            <w:r>
              <w:rPr>
                <w:b w:val="0"/>
                <w:sz w:val="15"/>
              </w:rPr>
              <w:t>Complete</w:t>
            </w:r>
          </w:p>
        </w:tc>
      </w:tr>
    </w:tbl>
    <w:p>
      <w:pPr>
        <w:spacing w:after="0"/>
      </w:pPr>
    </w:p>
    <w:p>
      <w:pPr>
        <w:pStyle w:val="Heading1"/>
        <w:keepNext/>
      </w:pPr>
      <w:r>
        <w:t>4. Final defects, dependencies and carry-forward decisions</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c>
          <w:tcPr>
            <w:tcW w:type="dxa" w:w="576"/>
            <w:vAlign w:val="top"/>
            <w:shd w:fill="D9D9D9"/>
          </w:tcPr>
          <w:p>
            <w:pPr>
              <w:spacing w:after="0"/>
            </w:pPr>
            <w:r/>
            <w:r>
              <w:rPr>
                <w:b/>
                <w:sz w:val="14"/>
              </w:rPr>
              <w:t>ID</w:t>
            </w:r>
          </w:p>
        </w:tc>
        <w:tc>
          <w:tcPr>
            <w:tcW w:type="dxa" w:w="1944"/>
            <w:vAlign w:val="top"/>
            <w:shd w:fill="D9D9D9"/>
          </w:tcPr>
          <w:p>
            <w:pPr>
              <w:spacing w:after="0"/>
            </w:pPr>
            <w:r/>
            <w:r>
              <w:rPr>
                <w:b/>
                <w:sz w:val="14"/>
              </w:rPr>
              <w:t>Item</w:t>
            </w:r>
          </w:p>
        </w:tc>
        <w:tc>
          <w:tcPr>
            <w:tcW w:type="dxa" w:w="1368"/>
            <w:vAlign w:val="top"/>
            <w:shd w:fill="D9D9D9"/>
          </w:tcPr>
          <w:p>
            <w:pPr>
              <w:spacing w:after="0"/>
            </w:pPr>
            <w:r/>
            <w:r>
              <w:rPr>
                <w:b/>
                <w:sz w:val="14"/>
              </w:rPr>
              <w:t>Status</w:t>
            </w:r>
          </w:p>
        </w:tc>
        <w:tc>
          <w:tcPr>
            <w:tcW w:type="dxa" w:w="3168"/>
            <w:vAlign w:val="top"/>
            <w:shd w:fill="D9D9D9"/>
          </w:tcPr>
          <w:p>
            <w:pPr>
              <w:spacing w:after="0"/>
            </w:pPr>
            <w:r/>
            <w:r>
              <w:rPr>
                <w:b/>
                <w:sz w:val="14"/>
              </w:rPr>
              <w:t>Closeout rationale</w:t>
            </w:r>
          </w:p>
        </w:tc>
        <w:tc>
          <w:tcPr>
            <w:tcW w:type="dxa" w:w="1440"/>
            <w:vAlign w:val="top"/>
            <w:shd w:fill="D9D9D9"/>
          </w:tcPr>
          <w:p>
            <w:pPr>
              <w:spacing w:after="0"/>
            </w:pPr>
            <w:r/>
            <w:r>
              <w:rPr>
                <w:b/>
                <w:sz w:val="14"/>
              </w:rPr>
              <w:t>Owner</w:t>
            </w:r>
          </w:p>
        </w:tc>
        <w:tc>
          <w:tcPr>
            <w:tcW w:type="dxa" w:w="2088"/>
            <w:vAlign w:val="top"/>
            <w:shd w:fill="D9D9D9"/>
          </w:tcPr>
          <w:p>
            <w:pPr>
              <w:spacing w:after="0"/>
            </w:pPr>
            <w:r/>
            <w:r>
              <w:rPr>
                <w:b/>
                <w:sz w:val="14"/>
              </w:rPr>
              <w:t>Next action</w:t>
            </w:r>
          </w:p>
        </w:tc>
      </w:tr>
      <w:tr>
        <w:tc>
          <w:tcPr>
            <w:tcW w:type="dxa" w:w="576"/>
            <w:vAlign w:val="top"/>
          </w:tcPr>
          <w:p>
            <w:pPr>
              <w:spacing w:after="0"/>
            </w:pPr>
            <w:r/>
            <w:r>
              <w:rPr>
                <w:b w:val="0"/>
                <w:sz w:val="14"/>
              </w:rPr>
              <w:t>C1</w:t>
            </w:r>
          </w:p>
        </w:tc>
        <w:tc>
          <w:tcPr>
            <w:tcW w:type="dxa" w:w="1944"/>
            <w:vAlign w:val="top"/>
          </w:tcPr>
          <w:p>
            <w:pPr>
              <w:spacing w:after="0"/>
            </w:pPr>
            <w:r/>
            <w:r>
              <w:rPr>
                <w:b w:val="0"/>
                <w:sz w:val="14"/>
              </w:rPr>
              <w:t>Isolated/sanitised Academy copy + site-level capability</w:t>
            </w:r>
          </w:p>
        </w:tc>
        <w:tc>
          <w:tcPr>
            <w:tcW w:type="dxa" w:w="1368"/>
            <w:vAlign w:val="top"/>
          </w:tcPr>
          <w:p>
            <w:pPr>
              <w:spacing w:after="0"/>
            </w:pPr>
            <w:r/>
            <w:r>
              <w:rPr>
                <w:b w:val="0"/>
                <w:sz w:val="14"/>
              </w:rPr>
              <w:t>Open / external</w:t>
            </w:r>
          </w:p>
        </w:tc>
        <w:tc>
          <w:tcPr>
            <w:tcW w:type="dxa" w:w="3168"/>
            <w:vAlign w:val="top"/>
          </w:tcPr>
          <w:p>
            <w:pPr>
              <w:spacing w:after="0"/>
            </w:pPr>
            <w:r/>
            <w:r>
              <w:rPr>
                <w:b w:val="0"/>
                <w:sz w:val="14"/>
              </w:rPr>
              <w:t>Current Teacher access cannot safely expose every theme/integration/site-level control needed for final refinements.</w:t>
            </w:r>
          </w:p>
        </w:tc>
        <w:tc>
          <w:tcPr>
            <w:tcW w:type="dxa" w:w="1440"/>
            <w:vAlign w:val="top"/>
          </w:tcPr>
          <w:p>
            <w:pPr>
              <w:spacing w:after="0"/>
            </w:pPr>
            <w:r/>
            <w:r>
              <w:rPr>
                <w:b w:val="0"/>
                <w:sz w:val="14"/>
              </w:rPr>
              <w:t>Aryan / Sam / OAPA</w:t>
            </w:r>
          </w:p>
        </w:tc>
        <w:tc>
          <w:tcPr>
            <w:tcW w:type="dxa" w:w="2088"/>
            <w:vAlign w:val="top"/>
          </w:tcPr>
          <w:p>
            <w:pPr>
              <w:spacing w:after="0"/>
            </w:pPr>
            <w:r/>
            <w:r>
              <w:rPr>
                <w:b w:val="0"/>
                <w:sz w:val="14"/>
              </w:rPr>
              <w:t>Client-supported isolated-copy route requested; expected next access step from Monday 5 October 2026.</w:t>
            </w:r>
          </w:p>
        </w:tc>
      </w:tr>
      <w:tr>
        <w:tc>
          <w:tcPr>
            <w:tcW w:type="dxa" w:w="576"/>
            <w:vAlign w:val="top"/>
          </w:tcPr>
          <w:p>
            <w:pPr>
              <w:spacing w:after="0"/>
            </w:pPr>
            <w:r/>
            <w:r>
              <w:rPr>
                <w:b w:val="0"/>
                <w:sz w:val="14"/>
              </w:rPr>
              <w:t>C2</w:t>
            </w:r>
          </w:p>
        </w:tc>
        <w:tc>
          <w:tcPr>
            <w:tcW w:type="dxa" w:w="1944"/>
            <w:vAlign w:val="top"/>
          </w:tcPr>
          <w:p>
            <w:pPr>
              <w:spacing w:after="0"/>
            </w:pPr>
            <w:r/>
            <w:r>
              <w:rPr>
                <w:b w:val="0"/>
                <w:sz w:val="14"/>
              </w:rPr>
              <w:t>Verified MS Teams workshop attendance</w:t>
            </w:r>
          </w:p>
        </w:tc>
        <w:tc>
          <w:tcPr>
            <w:tcW w:type="dxa" w:w="1368"/>
            <w:vAlign w:val="top"/>
          </w:tcPr>
          <w:p>
            <w:pPr>
              <w:spacing w:after="0"/>
            </w:pPr>
            <w:r/>
            <w:r>
              <w:rPr>
                <w:b w:val="0"/>
                <w:sz w:val="14"/>
              </w:rPr>
              <w:t>Open / dependent on C1</w:t>
            </w:r>
          </w:p>
        </w:tc>
        <w:tc>
          <w:tcPr>
            <w:tcW w:type="dxa" w:w="3168"/>
            <w:vAlign w:val="top"/>
          </w:tcPr>
          <w:p>
            <w:pPr>
              <w:spacing w:after="0"/>
            </w:pPr>
            <w:r/>
            <w:r>
              <w:rPr>
                <w:b w:val="0"/>
                <w:sz w:val="14"/>
              </w:rPr>
              <w:t>2-of-3 restriction logic works, but the final attendance source must be verifiable and support facilitator override.</w:t>
            </w:r>
          </w:p>
        </w:tc>
        <w:tc>
          <w:tcPr>
            <w:tcW w:type="dxa" w:w="1440"/>
            <w:vAlign w:val="top"/>
          </w:tcPr>
          <w:p>
            <w:pPr>
              <w:spacing w:after="0"/>
            </w:pPr>
            <w:r/>
            <w:r>
              <w:rPr>
                <w:b w:val="0"/>
                <w:sz w:val="14"/>
              </w:rPr>
              <w:t>Reshan + Riley + Aryan</w:t>
            </w:r>
          </w:p>
        </w:tc>
        <w:tc>
          <w:tcPr>
            <w:tcW w:type="dxa" w:w="2088"/>
            <w:vAlign w:val="top"/>
          </w:tcPr>
          <w:p>
            <w:pPr>
              <w:spacing w:after="0"/>
            </w:pPr>
            <w:r/>
            <w:r>
              <w:rPr>
                <w:b w:val="0"/>
                <w:sz w:val="14"/>
              </w:rPr>
              <w:t>Implement preferred supported integration or documented verified Teams-report + facilitator-controlled Moodle fallback.</w:t>
            </w:r>
          </w:p>
        </w:tc>
      </w:tr>
      <w:tr>
        <w:tc>
          <w:tcPr>
            <w:tcW w:type="dxa" w:w="576"/>
            <w:vAlign w:val="top"/>
          </w:tcPr>
          <w:p>
            <w:pPr>
              <w:spacing w:after="0"/>
            </w:pPr>
            <w:r/>
            <w:r>
              <w:rPr>
                <w:b w:val="0"/>
                <w:sz w:val="14"/>
              </w:rPr>
              <w:t>C3</w:t>
            </w:r>
          </w:p>
        </w:tc>
        <w:tc>
          <w:tcPr>
            <w:tcW w:type="dxa" w:w="1944"/>
            <w:vAlign w:val="top"/>
          </w:tcPr>
          <w:p>
            <w:pPr>
              <w:spacing w:after="0"/>
            </w:pPr>
            <w:r/>
            <w:r>
              <w:rPr>
                <w:b w:val="0"/>
                <w:sz w:val="14"/>
              </w:rPr>
              <w:t>OAPA fonts and Academy-wide branding</w:t>
            </w:r>
          </w:p>
        </w:tc>
        <w:tc>
          <w:tcPr>
            <w:tcW w:type="dxa" w:w="1368"/>
            <w:vAlign w:val="top"/>
          </w:tcPr>
          <w:p>
            <w:pPr>
              <w:spacing w:after="0"/>
            </w:pPr>
            <w:r/>
            <w:r>
              <w:rPr>
                <w:b w:val="0"/>
                <w:sz w:val="14"/>
              </w:rPr>
              <w:t>Open / dependent on C1</w:t>
            </w:r>
          </w:p>
        </w:tc>
        <w:tc>
          <w:tcPr>
            <w:tcW w:type="dxa" w:w="3168"/>
            <w:vAlign w:val="top"/>
          </w:tcPr>
          <w:p>
            <w:pPr>
              <w:spacing w:after="0"/>
            </w:pPr>
            <w:r/>
            <w:r>
              <w:rPr>
                <w:b w:val="0"/>
                <w:sz w:val="14"/>
              </w:rPr>
              <w:t>Brand rules and UX handoff are complete; site-level application remains outside normal Teacher controls.</w:t>
            </w:r>
          </w:p>
        </w:tc>
        <w:tc>
          <w:tcPr>
            <w:tcW w:type="dxa" w:w="1440"/>
            <w:vAlign w:val="top"/>
          </w:tcPr>
          <w:p>
            <w:pPr>
              <w:spacing w:after="0"/>
            </w:pPr>
            <w:r/>
            <w:r>
              <w:rPr>
                <w:b w:val="0"/>
                <w:sz w:val="14"/>
              </w:rPr>
              <w:t>Walaa + Zarin + Aryan</w:t>
            </w:r>
          </w:p>
        </w:tc>
        <w:tc>
          <w:tcPr>
            <w:tcW w:type="dxa" w:w="2088"/>
            <w:vAlign w:val="top"/>
          </w:tcPr>
          <w:p>
            <w:pPr>
              <w:spacing w:after="0"/>
            </w:pPr>
            <w:r/>
            <w:r>
              <w:rPr>
                <w:b w:val="0"/>
                <w:sz w:val="14"/>
              </w:rPr>
              <w:t>Apply Newsreader/Archivo and approved black/white treatment in isolated copy where supported.</w:t>
            </w:r>
          </w:p>
        </w:tc>
      </w:tr>
      <w:tr>
        <w:tc>
          <w:tcPr>
            <w:tcW w:type="dxa" w:w="576"/>
            <w:vAlign w:val="top"/>
          </w:tcPr>
          <w:p>
            <w:pPr>
              <w:spacing w:after="0"/>
            </w:pPr>
            <w:r/>
            <w:r>
              <w:rPr>
                <w:b w:val="0"/>
                <w:sz w:val="14"/>
              </w:rPr>
              <w:t>C4</w:t>
            </w:r>
          </w:p>
        </w:tc>
        <w:tc>
          <w:tcPr>
            <w:tcW w:type="dxa" w:w="1944"/>
            <w:vAlign w:val="top"/>
          </w:tcPr>
          <w:p>
            <w:pPr>
              <w:spacing w:after="0"/>
            </w:pPr>
            <w:r/>
            <w:r>
              <w:rPr>
                <w:b w:val="0"/>
                <w:sz w:val="14"/>
              </w:rPr>
              <w:t>Site-level navigation/accessibility refinement</w:t>
            </w:r>
          </w:p>
        </w:tc>
        <w:tc>
          <w:tcPr>
            <w:tcW w:type="dxa" w:w="1368"/>
            <w:vAlign w:val="top"/>
          </w:tcPr>
          <w:p>
            <w:pPr>
              <w:spacing w:after="0"/>
            </w:pPr>
            <w:r/>
            <w:r>
              <w:rPr>
                <w:b w:val="0"/>
                <w:sz w:val="14"/>
              </w:rPr>
              <w:t>Open / dependent on C1</w:t>
            </w:r>
          </w:p>
        </w:tc>
        <w:tc>
          <w:tcPr>
            <w:tcW w:type="dxa" w:w="3168"/>
            <w:vAlign w:val="top"/>
          </w:tcPr>
          <w:p>
            <w:pPr>
              <w:spacing w:after="0"/>
            </w:pPr>
            <w:r/>
            <w:r>
              <w:rPr>
                <w:b w:val="0"/>
                <w:sz w:val="14"/>
              </w:rPr>
              <w:t>Course-level fixes are complete; remaining navigation/theme refinements require broader capability.</w:t>
            </w:r>
          </w:p>
        </w:tc>
        <w:tc>
          <w:tcPr>
            <w:tcW w:type="dxa" w:w="1440"/>
            <w:vAlign w:val="top"/>
          </w:tcPr>
          <w:p>
            <w:pPr>
              <w:spacing w:after="0"/>
            </w:pPr>
            <w:r/>
            <w:r>
              <w:rPr>
                <w:b w:val="0"/>
                <w:sz w:val="14"/>
              </w:rPr>
              <w:t>Walaa + Devs</w:t>
            </w:r>
          </w:p>
        </w:tc>
        <w:tc>
          <w:tcPr>
            <w:tcW w:type="dxa" w:w="2088"/>
            <w:vAlign w:val="top"/>
          </w:tcPr>
          <w:p>
            <w:pPr>
              <w:spacing w:after="0"/>
            </w:pPr>
            <w:r/>
            <w:r>
              <w:rPr>
                <w:b w:val="0"/>
                <w:sz w:val="14"/>
              </w:rPr>
              <w:t>Implement only feasible/approved refinements and regression-test.</w:t>
            </w:r>
          </w:p>
        </w:tc>
      </w:tr>
      <w:tr>
        <w:tc>
          <w:tcPr>
            <w:tcW w:type="dxa" w:w="576"/>
            <w:vAlign w:val="top"/>
          </w:tcPr>
          <w:p>
            <w:pPr>
              <w:spacing w:after="0"/>
            </w:pPr>
            <w:r/>
            <w:r>
              <w:rPr>
                <w:b w:val="0"/>
                <w:sz w:val="14"/>
              </w:rPr>
              <w:t>C5</w:t>
            </w:r>
          </w:p>
        </w:tc>
        <w:tc>
          <w:tcPr>
            <w:tcW w:type="dxa" w:w="1944"/>
            <w:vAlign w:val="top"/>
          </w:tcPr>
          <w:p>
            <w:pPr>
              <w:spacing w:after="0"/>
            </w:pPr>
            <w:r/>
            <w:r>
              <w:rPr>
                <w:b w:val="0"/>
                <w:sz w:val="14"/>
              </w:rPr>
              <w:t>H5P Question Set</w:t>
            </w:r>
          </w:p>
        </w:tc>
        <w:tc>
          <w:tcPr>
            <w:tcW w:type="dxa" w:w="1368"/>
            <w:vAlign w:val="top"/>
          </w:tcPr>
          <w:p>
            <w:pPr>
              <w:spacing w:after="0"/>
            </w:pPr>
            <w:r/>
            <w:r>
              <w:rPr>
                <w:b w:val="0"/>
                <w:sz w:val="14"/>
              </w:rPr>
              <w:t>Closed as non-blocking</w:t>
            </w:r>
          </w:p>
        </w:tc>
        <w:tc>
          <w:tcPr>
            <w:tcW w:type="dxa" w:w="3168"/>
            <w:vAlign w:val="top"/>
          </w:tcPr>
          <w:p>
            <w:pPr>
              <w:spacing w:after="0"/>
            </w:pPr>
            <w:r/>
            <w:r>
              <w:rPr>
                <w:b w:val="0"/>
                <w:sz w:val="14"/>
              </w:rPr>
              <w:t>H5P is optional. Moodle-native Quiz/self-check satisfies the Core MVP even if H5P remains unavailable or unnecessary.</w:t>
            </w:r>
          </w:p>
        </w:tc>
        <w:tc>
          <w:tcPr>
            <w:tcW w:type="dxa" w:w="1440"/>
            <w:vAlign w:val="top"/>
          </w:tcPr>
          <w:p>
            <w:pPr>
              <w:spacing w:after="0"/>
            </w:pPr>
            <w:r/>
            <w:r>
              <w:rPr>
                <w:b w:val="0"/>
                <w:sz w:val="14"/>
              </w:rPr>
              <w:t>Zarin</w:t>
            </w:r>
          </w:p>
        </w:tc>
        <w:tc>
          <w:tcPr>
            <w:tcW w:type="dxa" w:w="2088"/>
            <w:vAlign w:val="top"/>
          </w:tcPr>
          <w:p>
            <w:pPr>
              <w:spacing w:after="0"/>
            </w:pPr>
            <w:r/>
            <w:r>
              <w:rPr>
                <w:b w:val="0"/>
                <w:sz w:val="14"/>
              </w:rPr>
              <w:t>Document final status; do not block Sprint 3 or replace working native functionality without reason.</w:t>
            </w:r>
          </w:p>
        </w:tc>
      </w:tr>
      <w:tr>
        <w:tc>
          <w:tcPr>
            <w:tcW w:type="dxa" w:w="576"/>
            <w:vAlign w:val="top"/>
          </w:tcPr>
          <w:p>
            <w:pPr>
              <w:spacing w:after="0"/>
            </w:pPr>
            <w:r/>
            <w:r>
              <w:rPr>
                <w:b w:val="0"/>
                <w:sz w:val="14"/>
              </w:rPr>
              <w:t>C6</w:t>
            </w:r>
          </w:p>
        </w:tc>
        <w:tc>
          <w:tcPr>
            <w:tcW w:type="dxa" w:w="1944"/>
            <w:vAlign w:val="top"/>
          </w:tcPr>
          <w:p>
            <w:pPr>
              <w:spacing w:after="0"/>
            </w:pPr>
            <w:r/>
            <w:r>
              <w:rPr>
                <w:b w:val="0"/>
                <w:sz w:val="14"/>
              </w:rPr>
              <w:t>Scope/deferred requirements</w:t>
            </w:r>
          </w:p>
        </w:tc>
        <w:tc>
          <w:tcPr>
            <w:tcW w:type="dxa" w:w="1368"/>
            <w:vAlign w:val="top"/>
          </w:tcPr>
          <w:p>
            <w:pPr>
              <w:spacing w:after="0"/>
            </w:pPr>
            <w:r/>
            <w:r>
              <w:rPr>
                <w:b w:val="0"/>
                <w:sz w:val="14"/>
              </w:rPr>
              <w:t>Managed</w:t>
            </w:r>
          </w:p>
        </w:tc>
        <w:tc>
          <w:tcPr>
            <w:tcW w:type="dxa" w:w="3168"/>
            <w:vAlign w:val="top"/>
          </w:tcPr>
          <w:p>
            <w:pPr>
              <w:spacing w:after="0"/>
            </w:pPr>
            <w:r/>
            <w:r>
              <w:rPr>
                <w:b w:val="0"/>
                <w:sz w:val="14"/>
              </w:rPr>
              <w:t>Peer review and wider Academy/admin items are not silently treated as delivered Core MVP behaviour.</w:t>
            </w:r>
          </w:p>
        </w:tc>
        <w:tc>
          <w:tcPr>
            <w:tcW w:type="dxa" w:w="1440"/>
            <w:vAlign w:val="top"/>
          </w:tcPr>
          <w:p>
            <w:pPr>
              <w:spacing w:after="0"/>
            </w:pPr>
            <w:r/>
            <w:r>
              <w:rPr>
                <w:b w:val="0"/>
                <w:sz w:val="14"/>
              </w:rPr>
              <w:t>Riley + Aryan</w:t>
            </w:r>
          </w:p>
        </w:tc>
        <w:tc>
          <w:tcPr>
            <w:tcW w:type="dxa" w:w="2088"/>
            <w:vAlign w:val="top"/>
          </w:tcPr>
          <w:p>
            <w:pPr>
              <w:spacing w:after="0"/>
            </w:pPr>
            <w:r/>
            <w:r>
              <w:rPr>
                <w:b w:val="0"/>
                <w:sz w:val="14"/>
              </w:rPr>
              <w:t>Keep delivered/deferred/OAPA-admin scope explicit in Sprint 3 acceptance and final handover.</w:t>
            </w:r>
          </w:p>
        </w:tc>
      </w:tr>
    </w:tbl>
    <w:p>
      <w:pPr>
        <w:spacing w:after="0"/>
      </w:pPr>
    </w:p>
    <w:p>
      <w:pPr>
        <w:pStyle w:val="Heading1"/>
        <w:keepNext/>
      </w:pPr>
      <w:r>
        <w:t>5. Stakeholder and governance events closing Sprint 2</w:t>
      </w:r>
    </w:p>
    <w:tbl>
      <w:tblPr>
        <w:tblStyle w:val="TableGrid"/>
        <w:tblW w:type="auto" w:w="0"/>
        <w:jc w:val="center"/>
        <w:tblLook w:firstColumn="1" w:firstRow="1" w:lastColumn="0" w:lastRow="0" w:noHBand="0" w:noVBand="1" w:val="04A0"/>
      </w:tblPr>
      <w:tblGrid>
        <w:gridCol w:w="3278"/>
        <w:gridCol w:w="3278"/>
        <w:gridCol w:w="3278"/>
      </w:tblGrid>
      <w:tr>
        <w:tc>
          <w:tcPr>
            <w:tcW w:type="dxa" w:w="1440"/>
            <w:vAlign w:val="top"/>
            <w:shd w:fill="D9D9D9"/>
          </w:tcPr>
          <w:p>
            <w:pPr>
              <w:spacing w:after="0"/>
            </w:pPr>
            <w:r/>
            <w:r>
              <w:rPr>
                <w:b/>
                <w:sz w:val="16"/>
              </w:rPr>
              <w:t>Date</w:t>
            </w:r>
          </w:p>
        </w:tc>
        <w:tc>
          <w:tcPr>
            <w:tcW w:type="dxa" w:w="2520"/>
            <w:vAlign w:val="top"/>
            <w:shd w:fill="D9D9D9"/>
          </w:tcPr>
          <w:p>
            <w:pPr>
              <w:spacing w:after="0"/>
            </w:pPr>
            <w:r/>
            <w:r>
              <w:rPr>
                <w:b/>
                <w:sz w:val="16"/>
              </w:rPr>
              <w:t>Event</w:t>
            </w:r>
          </w:p>
        </w:tc>
        <w:tc>
          <w:tcPr>
            <w:tcW w:type="dxa" w:w="5760"/>
            <w:vAlign w:val="top"/>
            <w:shd w:fill="D9D9D9"/>
          </w:tcPr>
          <w:p>
            <w:pPr>
              <w:spacing w:after="0"/>
            </w:pPr>
            <w:r/>
            <w:r>
              <w:rPr>
                <w:b/>
                <w:sz w:val="16"/>
              </w:rPr>
              <w:t>Decision / evidence outcome</w:t>
            </w:r>
          </w:p>
        </w:tc>
      </w:tr>
      <w:tr>
        <w:tc>
          <w:tcPr>
            <w:tcW w:type="dxa" w:w="1440"/>
            <w:vAlign w:val="top"/>
          </w:tcPr>
          <w:p>
            <w:pPr>
              <w:spacing w:after="0"/>
            </w:pPr>
            <w:r/>
            <w:r>
              <w:rPr>
                <w:b w:val="0"/>
                <w:sz w:val="16"/>
              </w:rPr>
              <w:t>1 Oct 2026</w:t>
            </w:r>
          </w:p>
        </w:tc>
        <w:tc>
          <w:tcPr>
            <w:tcW w:type="dxa" w:w="2520"/>
            <w:vAlign w:val="top"/>
          </w:tcPr>
          <w:p>
            <w:pPr>
              <w:spacing w:after="0"/>
            </w:pPr>
            <w:r/>
            <w:r>
              <w:rPr>
                <w:b w:val="0"/>
                <w:sz w:val="16"/>
              </w:rPr>
              <w:t>Client closeout meeting - 1h 09m</w:t>
            </w:r>
          </w:p>
        </w:tc>
        <w:tc>
          <w:tcPr>
            <w:tcW w:type="dxa" w:w="5760"/>
            <w:vAlign w:val="top"/>
          </w:tcPr>
          <w:p>
            <w:pPr>
              <w:spacing w:after="0"/>
            </w:pPr>
            <w:r/>
            <w:r>
              <w:rPr>
                <w:b w:val="0"/>
                <w:sz w:val="16"/>
              </w:rPr>
              <w:t>Reviewed development evidence, remaining implementation, access constraints and the isolated-copy route. Remaining work was framed as refinement/site-level completion rather than a new Core MVP.</w:t>
            </w:r>
          </w:p>
        </w:tc>
      </w:tr>
      <w:tr>
        <w:tc>
          <w:tcPr>
            <w:tcW w:type="dxa" w:w="1440"/>
            <w:vAlign w:val="top"/>
          </w:tcPr>
          <w:p>
            <w:pPr>
              <w:spacing w:after="0"/>
            </w:pPr>
            <w:r/>
            <w:r>
              <w:rPr>
                <w:b w:val="0"/>
                <w:sz w:val="16"/>
              </w:rPr>
              <w:t>1 Oct 2026</w:t>
            </w:r>
          </w:p>
        </w:tc>
        <w:tc>
          <w:tcPr>
            <w:tcW w:type="dxa" w:w="2520"/>
            <w:vAlign w:val="top"/>
          </w:tcPr>
          <w:p>
            <w:pPr>
              <w:spacing w:after="0"/>
            </w:pPr>
            <w:r/>
            <w:r>
              <w:rPr>
                <w:b w:val="0"/>
                <w:sz w:val="16"/>
              </w:rPr>
              <w:t>Vic dual-role review - 30 min</w:t>
            </w:r>
          </w:p>
        </w:tc>
        <w:tc>
          <w:tcPr>
            <w:tcW w:type="dxa" w:w="5760"/>
            <w:vAlign w:val="top"/>
          </w:tcPr>
          <w:p>
            <w:pPr>
              <w:spacing w:after="0"/>
            </w:pPr>
            <w:r/>
            <w:r>
              <w:rPr>
                <w:b w:val="0"/>
                <w:sz w:val="16"/>
              </w:rPr>
              <w:t>Vic, acting as both supervisor and technical advisor, reviewed Sprint 2 closeout, blockers and Sprint 3 direction.</w:t>
            </w:r>
          </w:p>
        </w:tc>
      </w:tr>
      <w:tr>
        <w:tc>
          <w:tcPr>
            <w:tcW w:type="dxa" w:w="1440"/>
            <w:vAlign w:val="top"/>
          </w:tcPr>
          <w:p>
            <w:pPr>
              <w:spacing w:after="0"/>
            </w:pPr>
            <w:r/>
            <w:r>
              <w:rPr>
                <w:b w:val="0"/>
                <w:sz w:val="16"/>
              </w:rPr>
              <w:t>2 Oct 2026</w:t>
            </w:r>
          </w:p>
        </w:tc>
        <w:tc>
          <w:tcPr>
            <w:tcW w:type="dxa" w:w="2520"/>
            <w:vAlign w:val="top"/>
          </w:tcPr>
          <w:p>
            <w:pPr>
              <w:spacing w:after="0"/>
            </w:pPr>
            <w:r/>
            <w:r>
              <w:rPr>
                <w:b w:val="0"/>
                <w:sz w:val="16"/>
              </w:rPr>
              <w:t>Internal team meeting - 42 min</w:t>
            </w:r>
          </w:p>
        </w:tc>
        <w:tc>
          <w:tcPr>
            <w:tcW w:type="dxa" w:w="5760"/>
            <w:vAlign w:val="top"/>
          </w:tcPr>
          <w:p>
            <w:pPr>
              <w:spacing w:after="0"/>
            </w:pPr>
            <w:r/>
            <w:r>
              <w:rPr>
                <w:b w:val="0"/>
                <w:sz w:val="16"/>
              </w:rPr>
              <w:t>Reconciled the specification, workshop integration, access needs, role boundaries and Sprint 3 refinement plan.</w:t>
            </w:r>
          </w:p>
        </w:tc>
      </w:tr>
      <w:tr>
        <w:tc>
          <w:tcPr>
            <w:tcW w:type="dxa" w:w="1440"/>
            <w:vAlign w:val="top"/>
          </w:tcPr>
          <w:p>
            <w:pPr>
              <w:spacing w:after="0"/>
            </w:pPr>
            <w:r/>
            <w:r>
              <w:rPr>
                <w:b w:val="0"/>
                <w:sz w:val="16"/>
              </w:rPr>
              <w:t>3 Oct 2026</w:t>
            </w:r>
          </w:p>
        </w:tc>
        <w:tc>
          <w:tcPr>
            <w:tcW w:type="dxa" w:w="2520"/>
            <w:vAlign w:val="top"/>
          </w:tcPr>
          <w:p>
            <w:pPr>
              <w:spacing w:after="0"/>
            </w:pPr>
            <w:r/>
            <w:r>
              <w:rPr>
                <w:b w:val="0"/>
                <w:sz w:val="16"/>
              </w:rPr>
              <w:t>Access-copy follow-up</w:t>
            </w:r>
          </w:p>
        </w:tc>
        <w:tc>
          <w:tcPr>
            <w:tcW w:type="dxa" w:w="5760"/>
            <w:vAlign w:val="top"/>
          </w:tcPr>
          <w:p>
            <w:pPr>
              <w:spacing w:after="0"/>
            </w:pPr>
            <w:r/>
            <w:r>
              <w:rPr>
                <w:b w:val="0"/>
                <w:sz w:val="16"/>
              </w:rPr>
              <w:t>Client-supported route progressed: request an isolated Academy copy with the site-level capability required for the remaining blocked work.</w:t>
            </w:r>
          </w:p>
        </w:tc>
      </w:tr>
      <w:tr>
        <w:tc>
          <w:tcPr>
            <w:tcW w:type="dxa" w:w="1440"/>
            <w:vAlign w:val="top"/>
          </w:tcPr>
          <w:p>
            <w:pPr>
              <w:spacing w:after="0"/>
            </w:pPr>
            <w:r/>
            <w:r>
              <w:rPr>
                <w:b w:val="0"/>
                <w:sz w:val="16"/>
              </w:rPr>
              <w:t>4 Oct 2026</w:t>
            </w:r>
          </w:p>
        </w:tc>
        <w:tc>
          <w:tcPr>
            <w:tcW w:type="dxa" w:w="2520"/>
            <w:vAlign w:val="top"/>
          </w:tcPr>
          <w:p>
            <w:pPr>
              <w:spacing w:after="0"/>
            </w:pPr>
            <w:r/>
            <w:r>
              <w:rPr>
                <w:b w:val="0"/>
                <w:sz w:val="16"/>
              </w:rPr>
              <w:t>Sprint 2 PM closeout</w:t>
            </w:r>
          </w:p>
        </w:tc>
        <w:tc>
          <w:tcPr>
            <w:tcW w:type="dxa" w:w="5760"/>
            <w:vAlign w:val="top"/>
          </w:tcPr>
          <w:p>
            <w:pPr>
              <w:spacing w:after="0"/>
            </w:pPr>
            <w:r/>
            <w:r>
              <w:rPr>
                <w:b w:val="0"/>
                <w:sz w:val="16"/>
              </w:rPr>
              <w:t>All non-access-blocked Week 3 work treated as complete; open site-level dependencies transferred to Sprint 3 with owners and evidence expectations.</w:t>
            </w:r>
          </w:p>
        </w:tc>
      </w:tr>
    </w:tbl>
    <w:p>
      <w:pPr>
        <w:spacing w:after="0"/>
      </w:pPr>
    </w:p>
    <w:p>
      <w:pPr>
        <w:pStyle w:val="Heading1"/>
        <w:keepNext/>
      </w:pPr>
      <w:r>
        <w:t>6. Task 51 acceptance mapping</w:t>
      </w:r>
    </w:p>
    <w:tbl>
      <w:tblPr>
        <w:tblStyle w:val="TableGrid"/>
        <w:tblW w:type="auto" w:w="0"/>
        <w:jc w:val="center"/>
        <w:tblLook w:firstColumn="1" w:firstRow="1" w:lastColumn="0" w:lastRow="0" w:noHBand="0" w:noVBand="1" w:val="04A0"/>
      </w:tblPr>
      <w:tblGrid>
        <w:gridCol w:w="3278"/>
        <w:gridCol w:w="3278"/>
        <w:gridCol w:w="3278"/>
      </w:tblGrid>
      <w:tr>
        <w:tc>
          <w:tcPr>
            <w:tcW w:type="dxa" w:w="3528"/>
            <w:vAlign w:val="top"/>
            <w:shd w:fill="D9D9D9"/>
          </w:tcPr>
          <w:p>
            <w:pPr>
              <w:spacing w:after="0"/>
            </w:pPr>
            <w:r/>
            <w:r>
              <w:rPr>
                <w:b/>
                <w:sz w:val="15"/>
              </w:rPr>
              <w:t>Task 51 acceptance item</w:t>
            </w:r>
          </w:p>
        </w:tc>
        <w:tc>
          <w:tcPr>
            <w:tcW w:type="dxa" w:w="5400"/>
            <w:vAlign w:val="top"/>
            <w:shd w:fill="D9D9D9"/>
          </w:tcPr>
          <w:p>
            <w:pPr>
              <w:spacing w:after="0"/>
            </w:pPr>
            <w:r/>
            <w:r>
              <w:rPr>
                <w:b/>
                <w:sz w:val="15"/>
              </w:rPr>
              <w:t>Evidence in this record</w:t>
            </w:r>
          </w:p>
        </w:tc>
        <w:tc>
          <w:tcPr>
            <w:tcW w:type="dxa" w:w="864"/>
            <w:vAlign w:val="top"/>
            <w:shd w:fill="D9D9D9"/>
          </w:tcPr>
          <w:p>
            <w:pPr>
              <w:spacing w:after="0"/>
            </w:pPr>
            <w:r/>
            <w:r>
              <w:rPr>
                <w:b/>
                <w:sz w:val="15"/>
              </w:rPr>
              <w:t>Status</w:t>
            </w:r>
          </w:p>
        </w:tc>
      </w:tr>
      <w:tr>
        <w:tc>
          <w:tcPr>
            <w:tcW w:type="dxa" w:w="3528"/>
            <w:vAlign w:val="top"/>
          </w:tcPr>
          <w:p>
            <w:pPr>
              <w:spacing w:after="0"/>
            </w:pPr>
            <w:r/>
            <w:r>
              <w:rPr>
                <w:b w:val="0"/>
                <w:sz w:val="15"/>
              </w:rPr>
              <w:t>Sprint 2 evidence consolidated against Planner/Core MVP baseline.</w:t>
            </w:r>
          </w:p>
        </w:tc>
        <w:tc>
          <w:tcPr>
            <w:tcW w:type="dxa" w:w="5400"/>
            <w:vAlign w:val="top"/>
          </w:tcPr>
          <w:p>
            <w:pPr>
              <w:spacing w:after="0"/>
            </w:pPr>
            <w:r/>
            <w:r>
              <w:rPr>
                <w:b w:val="0"/>
                <w:sz w:val="15"/>
              </w:rPr>
              <w:t>Sections 2-3 summarise final delivery and role-owned Week 3 evidence.</w:t>
            </w:r>
          </w:p>
        </w:tc>
        <w:tc>
          <w:tcPr>
            <w:tcW w:type="dxa" w:w="864"/>
            <w:vAlign w:val="top"/>
          </w:tcPr>
          <w:p>
            <w:pPr>
              <w:spacing w:after="0"/>
            </w:pPr>
            <w:r/>
            <w:r>
              <w:rPr>
                <w:b w:val="0"/>
                <w:sz w:val="15"/>
              </w:rPr>
              <w:t>Met</w:t>
            </w:r>
          </w:p>
        </w:tc>
      </w:tr>
      <w:tr>
        <w:tc>
          <w:tcPr>
            <w:tcW w:type="dxa" w:w="3528"/>
            <w:vAlign w:val="top"/>
          </w:tcPr>
          <w:p>
            <w:pPr>
              <w:spacing w:after="0"/>
            </w:pPr>
            <w:r/>
            <w:r>
              <w:rPr>
                <w:b w:val="0"/>
                <w:sz w:val="15"/>
              </w:rPr>
              <w:t>Key stakeholder decisions remain traceable.</w:t>
            </w:r>
          </w:p>
        </w:tc>
        <w:tc>
          <w:tcPr>
            <w:tcW w:type="dxa" w:w="5400"/>
            <w:vAlign w:val="top"/>
          </w:tcPr>
          <w:p>
            <w:pPr>
              <w:spacing w:after="0"/>
            </w:pPr>
            <w:r/>
            <w:r>
              <w:rPr>
                <w:b w:val="0"/>
                <w:sz w:val="15"/>
              </w:rPr>
              <w:t>Sections 4-5 preserve the client/Vic closeout decisions and implementation consequences.</w:t>
            </w:r>
          </w:p>
        </w:tc>
        <w:tc>
          <w:tcPr>
            <w:tcW w:type="dxa" w:w="864"/>
            <w:vAlign w:val="top"/>
          </w:tcPr>
          <w:p>
            <w:pPr>
              <w:spacing w:after="0"/>
            </w:pPr>
            <w:r/>
            <w:r>
              <w:rPr>
                <w:b w:val="0"/>
                <w:sz w:val="15"/>
              </w:rPr>
              <w:t>Met</w:t>
            </w:r>
          </w:p>
        </w:tc>
      </w:tr>
      <w:tr>
        <w:tc>
          <w:tcPr>
            <w:tcW w:type="dxa" w:w="3528"/>
            <w:vAlign w:val="top"/>
          </w:tcPr>
          <w:p>
            <w:pPr>
              <w:spacing w:after="0"/>
            </w:pPr>
            <w:r/>
            <w:r>
              <w:rPr>
                <w:b w:val="0"/>
                <w:sz w:val="15"/>
              </w:rPr>
              <w:t>Defects and limitations are visible rather than hidden.</w:t>
            </w:r>
          </w:p>
        </w:tc>
        <w:tc>
          <w:tcPr>
            <w:tcW w:type="dxa" w:w="5400"/>
            <w:vAlign w:val="top"/>
          </w:tcPr>
          <w:p>
            <w:pPr>
              <w:spacing w:after="0"/>
            </w:pPr>
            <w:r/>
            <w:r>
              <w:rPr>
                <w:b w:val="0"/>
                <w:sz w:val="15"/>
              </w:rPr>
              <w:t>Section 4 records every material carry-forward item and why it remains open.</w:t>
            </w:r>
          </w:p>
        </w:tc>
        <w:tc>
          <w:tcPr>
            <w:tcW w:type="dxa" w:w="864"/>
            <w:vAlign w:val="top"/>
          </w:tcPr>
          <w:p>
            <w:pPr>
              <w:spacing w:after="0"/>
            </w:pPr>
            <w:r/>
            <w:r>
              <w:rPr>
                <w:b w:val="0"/>
                <w:sz w:val="15"/>
              </w:rPr>
              <w:t>Met</w:t>
            </w:r>
          </w:p>
        </w:tc>
      </w:tr>
      <w:tr>
        <w:tc>
          <w:tcPr>
            <w:tcW w:type="dxa" w:w="3528"/>
            <w:vAlign w:val="top"/>
          </w:tcPr>
          <w:p>
            <w:pPr>
              <w:spacing w:after="0"/>
            </w:pPr>
            <w:r/>
            <w:r>
              <w:rPr>
                <w:b w:val="0"/>
                <w:sz w:val="15"/>
              </w:rPr>
              <w:t>Site-level dependencies are separated from course-level work.</w:t>
            </w:r>
          </w:p>
        </w:tc>
        <w:tc>
          <w:tcPr>
            <w:tcW w:type="dxa" w:w="5400"/>
            <w:vAlign w:val="top"/>
          </w:tcPr>
          <w:p>
            <w:pPr>
              <w:spacing w:after="0"/>
            </w:pPr>
            <w:r/>
            <w:r>
              <w:rPr>
                <w:b w:val="0"/>
                <w:sz w:val="15"/>
              </w:rPr>
              <w:t>C1-C4 distinguish external OAPA capability from completed Core MVP logic.</w:t>
            </w:r>
          </w:p>
        </w:tc>
        <w:tc>
          <w:tcPr>
            <w:tcW w:type="dxa" w:w="864"/>
            <w:vAlign w:val="top"/>
          </w:tcPr>
          <w:p>
            <w:pPr>
              <w:spacing w:after="0"/>
            </w:pPr>
            <w:r/>
            <w:r>
              <w:rPr>
                <w:b w:val="0"/>
                <w:sz w:val="15"/>
              </w:rPr>
              <w:t>Met</w:t>
            </w:r>
          </w:p>
        </w:tc>
      </w:tr>
      <w:tr>
        <w:tc>
          <w:tcPr>
            <w:tcW w:type="dxa" w:w="3528"/>
            <w:vAlign w:val="top"/>
          </w:tcPr>
          <w:p>
            <w:pPr>
              <w:spacing w:after="0"/>
            </w:pPr>
            <w:r/>
            <w:r>
              <w:rPr>
                <w:b w:val="0"/>
                <w:sz w:val="15"/>
              </w:rPr>
              <w:t>Resolved/non-blocking issues are closed accurately.</w:t>
            </w:r>
          </w:p>
        </w:tc>
        <w:tc>
          <w:tcPr>
            <w:tcW w:type="dxa" w:w="5400"/>
            <w:vAlign w:val="top"/>
          </w:tcPr>
          <w:p>
            <w:pPr>
              <w:spacing w:after="0"/>
            </w:pPr>
            <w:r/>
            <w:r>
              <w:rPr>
                <w:b w:val="0"/>
                <w:sz w:val="15"/>
              </w:rPr>
              <w:t>C5 records H5P as optional/non-blocking with the native fallback preserved.</w:t>
            </w:r>
          </w:p>
        </w:tc>
        <w:tc>
          <w:tcPr>
            <w:tcW w:type="dxa" w:w="864"/>
            <w:vAlign w:val="top"/>
          </w:tcPr>
          <w:p>
            <w:pPr>
              <w:spacing w:after="0"/>
            </w:pPr>
            <w:r/>
            <w:r>
              <w:rPr>
                <w:b w:val="0"/>
                <w:sz w:val="15"/>
              </w:rPr>
              <w:t>Met</w:t>
            </w:r>
          </w:p>
        </w:tc>
      </w:tr>
      <w:tr>
        <w:tc>
          <w:tcPr>
            <w:tcW w:type="dxa" w:w="3528"/>
            <w:vAlign w:val="top"/>
          </w:tcPr>
          <w:p>
            <w:pPr>
              <w:spacing w:after="0"/>
            </w:pPr>
            <w:r/>
            <w:r>
              <w:rPr>
                <w:b w:val="0"/>
                <w:sz w:val="15"/>
              </w:rPr>
              <w:t>Every remaining action has an owner and next action.</w:t>
            </w:r>
          </w:p>
        </w:tc>
        <w:tc>
          <w:tcPr>
            <w:tcW w:type="dxa" w:w="5400"/>
            <w:vAlign w:val="top"/>
          </w:tcPr>
          <w:p>
            <w:pPr>
              <w:spacing w:after="0"/>
            </w:pPr>
            <w:r/>
            <w:r>
              <w:rPr>
                <w:b w:val="0"/>
                <w:sz w:val="15"/>
              </w:rPr>
              <w:t>Section 4 assigns owners and Sprint 3 action for each open item.</w:t>
            </w:r>
          </w:p>
        </w:tc>
        <w:tc>
          <w:tcPr>
            <w:tcW w:type="dxa" w:w="864"/>
            <w:vAlign w:val="top"/>
          </w:tcPr>
          <w:p>
            <w:pPr>
              <w:spacing w:after="0"/>
            </w:pPr>
            <w:r/>
            <w:r>
              <w:rPr>
                <w:b w:val="0"/>
                <w:sz w:val="15"/>
              </w:rPr>
              <w:t>Met</w:t>
            </w:r>
          </w:p>
        </w:tc>
      </w:tr>
      <w:tr>
        <w:tc>
          <w:tcPr>
            <w:tcW w:type="dxa" w:w="3528"/>
            <w:vAlign w:val="top"/>
          </w:tcPr>
          <w:p>
            <w:pPr>
              <w:spacing w:after="0"/>
            </w:pPr>
            <w:r/>
            <w:r>
              <w:rPr>
                <w:b w:val="0"/>
                <w:sz w:val="15"/>
              </w:rPr>
              <w:t>Week 3 task/evidence position is complete and traceable.</w:t>
            </w:r>
          </w:p>
        </w:tc>
        <w:tc>
          <w:tcPr>
            <w:tcW w:type="dxa" w:w="5400"/>
            <w:vAlign w:val="top"/>
          </w:tcPr>
          <w:p>
            <w:pPr>
              <w:spacing w:after="0"/>
            </w:pPr>
            <w:r/>
            <w:r>
              <w:rPr>
                <w:b w:val="0"/>
                <w:sz w:val="15"/>
              </w:rPr>
              <w:t>Section 3 maps T51-T60 and current repository evidence.</w:t>
            </w:r>
          </w:p>
        </w:tc>
        <w:tc>
          <w:tcPr>
            <w:tcW w:type="dxa" w:w="864"/>
            <w:vAlign w:val="top"/>
          </w:tcPr>
          <w:p>
            <w:pPr>
              <w:spacing w:after="0"/>
            </w:pPr>
            <w:r/>
            <w:r>
              <w:rPr>
                <w:b w:val="0"/>
                <w:sz w:val="15"/>
              </w:rPr>
              <w:t>Met</w:t>
            </w:r>
          </w:p>
        </w:tc>
      </w:tr>
      <w:tr>
        <w:tc>
          <w:tcPr>
            <w:tcW w:type="dxa" w:w="3528"/>
            <w:vAlign w:val="top"/>
          </w:tcPr>
          <w:p>
            <w:pPr>
              <w:spacing w:after="0"/>
            </w:pPr>
            <w:r/>
            <w:r>
              <w:rPr>
                <w:b w:val="0"/>
                <w:sz w:val="15"/>
              </w:rPr>
              <w:t>Sprint 2 closes without hidden scope expansion.</w:t>
            </w:r>
          </w:p>
        </w:tc>
        <w:tc>
          <w:tcPr>
            <w:tcW w:type="dxa" w:w="5400"/>
            <w:vAlign w:val="top"/>
          </w:tcPr>
          <w:p>
            <w:pPr>
              <w:spacing w:after="0"/>
            </w:pPr>
            <w:r/>
            <w:r>
              <w:rPr>
                <w:b w:val="0"/>
                <w:sz w:val="15"/>
              </w:rPr>
              <w:t>Scope-control callout plus C6 preserve the accepted Core MVP boundary.</w:t>
            </w:r>
          </w:p>
        </w:tc>
        <w:tc>
          <w:tcPr>
            <w:tcW w:type="dxa" w:w="864"/>
            <w:vAlign w:val="top"/>
          </w:tcPr>
          <w:p>
            <w:pPr>
              <w:spacing w:after="0"/>
            </w:pPr>
            <w:r/>
            <w:r>
              <w:rPr>
                <w:b w:val="0"/>
                <w:sz w:val="15"/>
              </w:rPr>
              <w:t>Met</w:t>
            </w:r>
          </w:p>
        </w:tc>
      </w:tr>
    </w:tbl>
    <w:p>
      <w:pPr>
        <w:spacing w:after="0"/>
      </w:pPr>
    </w:p>
    <w:p>
      <w:pPr>
        <w:pStyle w:val="Heading1"/>
        <w:keepNext/>
      </w:pPr>
      <w:r>
        <w:t>7. PM completion statement</w:t>
      </w:r>
    </w:p>
    <w:p>
      <w:pPr>
        <w:spacing w:after="140"/>
      </w:pPr>
      <w:r>
        <w:rPr>
          <w:i w:val="0"/>
        </w:rPr>
        <w:t>Task 51 is complete. Sprint 2 evidence, decisions, final Week 3 validation/fix work and outstanding dependencies are consolidated into one closeout position. The reusable Core MVP is complete wherever current Academy access permits. The remaining implementation is specifically limited to the isolated-copy/site-level path for verified workshop attendance, OAPA branding/fonts and navigation/accessibility refinements, plus final Sprint 3 regression and handover. These items are visible, owned and transferred forward rather than being treated as hidden or incomplete Sprint 2 work.</w:t>
      </w:r>
    </w:p>
    <w:sectPr w:rsidR="00FC693F" w:rsidRPr="0006063C" w:rsidSect="00034616">
      <w:footerReference w:type="default" r:id="rId9"/>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Team 74 | OAPA Academy Moodle | Sprint 2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rlito" w:hAnsi="Carlito"/>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Note">
    <w:name w:val="Evidence Note"/>
    <w:pPr>
      <w:spacing w:after="100"/>
    </w:pPr>
    <w:rPr>
      <w:rFonts w:ascii="Carlito" w:hAnsi="Carlito"/>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