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sz w:val="40"/>
        </w:rPr>
        <w:t>Sprint 2 Week 1 Planner / Gantt Setup Evidence</w:t>
      </w:r>
    </w:p>
    <w:p>
      <w:r>
        <w:rPr>
          <w:color w:val="5A5A5A"/>
          <w:sz w:val="24"/>
        </w:rPr>
        <w:t>OAPA Academy reusable course-template project - Sprint 2 governance and implementation control</w:t>
      </w:r>
    </w:p>
    <w:p/>
    <w:tbl>
      <w:tblPr>
        <w:tblStyle w:val="TableGrid"/>
        <w:tblW w:type="auto" w:w="0"/>
        <w:tblLook w:firstColumn="1" w:firstRow="1" w:lastColumn="0" w:lastRow="0" w:noHBand="0" w:noVBand="1" w:val="04A0"/>
      </w:tblPr>
      <w:tblGrid>
        <w:gridCol w:w="2256"/>
        <w:gridCol w:w="2256"/>
        <w:gridCol w:w="2256"/>
        <w:gridCol w:w="2256"/>
      </w:tblGrid>
      <w:tr>
        <w:trPr>
          <w:tblHeader w:val="true"/>
          <w:cantSplit/>
        </w:trPr>
        <w:tc>
          <w:tcPr>
            <w:tcW w:type="dxa" w:w="2256"/>
            <w:vAlign w:val="center"/>
          </w:tcPr>
          <w:p>
            <w:r>
              <w:rPr>
                <w:b/>
                <w:sz w:val="16"/>
              </w:rPr>
              <w:t>Project</w:t>
            </w:r>
          </w:p>
        </w:tc>
        <w:tc>
          <w:tcPr>
            <w:tcW w:type="dxa" w:w="2256"/>
            <w:vAlign w:val="center"/>
          </w:tcPr>
          <w:p>
            <w:r>
              <w:rPr>
                <w:b w:val="0"/>
                <w:sz w:val="16"/>
              </w:rPr>
              <w:t>P000785CSITCP / Group 74 - Team A</w:t>
            </w:r>
          </w:p>
        </w:tc>
        <w:tc>
          <w:tcPr>
            <w:tcW w:type="dxa" w:w="2256"/>
            <w:vAlign w:val="center"/>
          </w:tcPr>
          <w:p>
            <w:r>
              <w:rPr>
                <w:b/>
                <w:sz w:val="16"/>
              </w:rPr>
              <w:t>Owner</w:t>
            </w:r>
          </w:p>
        </w:tc>
        <w:tc>
          <w:tcPr>
            <w:tcW w:type="dxa" w:w="2256"/>
            <w:vAlign w:val="center"/>
          </w:tcPr>
          <w:p>
            <w:r>
              <w:rPr>
                <w:b w:val="0"/>
                <w:sz w:val="16"/>
              </w:rPr>
              <w:t>Aryan Rajendra - Project Manager</w:t>
            </w:r>
          </w:p>
        </w:tc>
      </w:tr>
      <w:tr>
        <w:trPr>
          <w:cantSplit/>
        </w:trPr>
        <w:tc>
          <w:tcPr>
            <w:tcW w:type="dxa" w:w="2256"/>
            <w:vAlign w:val="center"/>
          </w:tcPr>
          <w:p>
            <w:r>
              <w:rPr>
                <w:b/>
                <w:sz w:val="16"/>
              </w:rPr>
              <w:t>Status</w:t>
            </w:r>
          </w:p>
        </w:tc>
        <w:tc>
          <w:tcPr>
            <w:tcW w:type="dxa" w:w="2256"/>
            <w:vAlign w:val="center"/>
          </w:tcPr>
          <w:p>
            <w:r>
              <w:rPr>
                <w:b w:val="0"/>
                <w:sz w:val="16"/>
              </w:rPr>
              <w:t>Final Sprint 2 Week 1 setup evidence</w:t>
            </w:r>
          </w:p>
        </w:tc>
        <w:tc>
          <w:tcPr>
            <w:tcW w:type="dxa" w:w="2256"/>
            <w:vAlign w:val="center"/>
          </w:tcPr>
          <w:p>
            <w:r>
              <w:rPr>
                <w:b/>
                <w:sz w:val="16"/>
              </w:rPr>
              <w:t>Current as of</w:t>
            </w:r>
          </w:p>
        </w:tc>
        <w:tc>
          <w:tcPr>
            <w:tcW w:type="dxa" w:w="2256"/>
            <w:vAlign w:val="center"/>
          </w:tcPr>
          <w:p>
            <w:r>
              <w:rPr>
                <w:b w:val="0"/>
                <w:sz w:val="16"/>
              </w:rPr>
              <w:t>20 September 2026</w:t>
            </w:r>
          </w:p>
        </w:tc>
      </w:tr>
    </w:tbl>
    <w:p>
      <w:pPr>
        <w:pStyle w:val="Heading1"/>
      </w:pPr>
      <w:r>
        <w:t>1. Purpose of this evidence</w:t>
      </w:r>
    </w:p>
    <w:p>
      <w:r>
        <w:t>This document records the completion of Sprint 2 Week 1 governance setup for Team 74. It shows that the detailed Week 1 Planner tasks and the submitted Sprint 2 Gantt were aligned to the agreed Core MVP implementation baseline before role-owned work progressed.</w:t>
      </w:r>
    </w:p>
    <w:p>
      <w:r>
        <w:t>The control principle for Sprint 2 remains one representative reusable OAPA Academy learner/course journey end-to-end. Planner and Gantt are used as the working implementation controls, while evidence, blockers and handoffs are recorded against the individual task cards.</w:t>
      </w:r>
    </w:p>
    <w:p>
      <w:pPr>
        <w:pStyle w:val="Heading1"/>
      </w:pPr>
      <w:r>
        <w:t>2. Final Sprint 2 Week 1 setup position</w:t>
      </w:r>
    </w:p>
    <w:tbl>
      <w:tblPr>
        <w:tblStyle w:val="TableGrid"/>
        <w:tblW w:type="auto" w:w="0"/>
        <w:tblLook w:firstColumn="1" w:firstRow="1" w:lastColumn="0" w:lastRow="0" w:noHBand="0" w:noVBand="1" w:val="04A0"/>
      </w:tblPr>
      <w:tblGrid>
        <w:gridCol w:w="3008"/>
        <w:gridCol w:w="3008"/>
        <w:gridCol w:w="3008"/>
      </w:tblGrid>
      <w:tr>
        <w:trPr>
          <w:tblHeader w:val="true"/>
          <w:cantSplit/>
        </w:trPr>
        <w:tc>
          <w:tcPr>
            <w:tcW w:type="dxa" w:w="3008"/>
            <w:vAlign w:val="center"/>
          </w:tcPr>
          <w:p>
            <w:r>
              <w:rPr>
                <w:b/>
                <w:sz w:val="16"/>
              </w:rPr>
              <w:t>Control area</w:t>
            </w:r>
          </w:p>
        </w:tc>
        <w:tc>
          <w:tcPr>
            <w:tcW w:type="dxa" w:w="3008"/>
            <w:vAlign w:val="center"/>
          </w:tcPr>
          <w:p>
            <w:r>
              <w:rPr>
                <w:b/>
                <w:sz w:val="16"/>
              </w:rPr>
              <w:t>Final Week 1 position</w:t>
            </w:r>
          </w:p>
        </w:tc>
        <w:tc>
          <w:tcPr>
            <w:tcW w:type="dxa" w:w="3008"/>
            <w:vAlign w:val="center"/>
          </w:tcPr>
          <w:p>
            <w:r>
              <w:rPr>
                <w:b/>
                <w:sz w:val="16"/>
              </w:rPr>
              <w:t>Status</w:t>
            </w:r>
          </w:p>
        </w:tc>
      </w:tr>
      <w:tr>
        <w:trPr>
          <w:cantSplit/>
        </w:trPr>
        <w:tc>
          <w:tcPr>
            <w:tcW w:type="dxa" w:w="3008"/>
            <w:vAlign w:val="center"/>
          </w:tcPr>
          <w:p>
            <w:r>
              <w:rPr>
                <w:sz w:val="16"/>
              </w:rPr>
              <w:t>Planner task setup</w:t>
            </w:r>
          </w:p>
        </w:tc>
        <w:tc>
          <w:tcPr>
            <w:tcW w:type="dxa" w:w="3008"/>
            <w:vAlign w:val="center"/>
          </w:tcPr>
          <w:p>
            <w:r>
              <w:rPr>
                <w:sz w:val="16"/>
              </w:rPr>
              <w:t>Tasks 31-40 are defined for the five team roles using the agreed Sprint 2 Core MVP work packages.</w:t>
            </w:r>
          </w:p>
        </w:tc>
        <w:tc>
          <w:tcPr>
            <w:tcW w:type="dxa" w:w="3008"/>
            <w:vAlign w:val="center"/>
          </w:tcPr>
          <w:p>
            <w:r>
              <w:rPr>
                <w:sz w:val="16"/>
              </w:rPr>
              <w:t>Complete</w:t>
            </w:r>
          </w:p>
        </w:tc>
      </w:tr>
      <w:tr>
        <w:trPr>
          <w:cantSplit/>
        </w:trPr>
        <w:tc>
          <w:tcPr>
            <w:tcW w:type="dxa" w:w="3008"/>
            <w:vAlign w:val="center"/>
          </w:tcPr>
          <w:p>
            <w:r>
              <w:rPr>
                <w:sz w:val="16"/>
              </w:rPr>
              <w:t>Named ownership</w:t>
            </w:r>
          </w:p>
        </w:tc>
        <w:tc>
          <w:tcPr>
            <w:tcW w:type="dxa" w:w="3008"/>
            <w:vAlign w:val="center"/>
          </w:tcPr>
          <w:p>
            <w:r>
              <w:rPr>
                <w:sz w:val="16"/>
              </w:rPr>
              <w:t>Every Week 1 task has one named owner so responsibility remains individually attributable.</w:t>
            </w:r>
          </w:p>
        </w:tc>
        <w:tc>
          <w:tcPr>
            <w:tcW w:type="dxa" w:w="3008"/>
            <w:vAlign w:val="center"/>
          </w:tcPr>
          <w:p>
            <w:r>
              <w:rPr>
                <w:sz w:val="16"/>
              </w:rPr>
              <w:t>Complete</w:t>
            </w:r>
          </w:p>
        </w:tc>
      </w:tr>
      <w:tr>
        <w:trPr>
          <w:cantSplit/>
        </w:trPr>
        <w:tc>
          <w:tcPr>
            <w:tcW w:type="dxa" w:w="3008"/>
            <w:vAlign w:val="center"/>
          </w:tcPr>
          <w:p>
            <w:r>
              <w:rPr>
                <w:sz w:val="16"/>
              </w:rPr>
              <w:t>Descriptions and acceptance criteria</w:t>
            </w:r>
          </w:p>
        </w:tc>
        <w:tc>
          <w:tcPr>
            <w:tcW w:type="dxa" w:w="3008"/>
            <w:vAlign w:val="center"/>
          </w:tcPr>
          <w:p>
            <w:r>
              <w:rPr>
                <w:sz w:val="16"/>
              </w:rPr>
              <w:t>Every Week 1 Planner card contains the detailed description, planned deliverable and testable acceptance criteria required for the following week.</w:t>
            </w:r>
          </w:p>
        </w:tc>
        <w:tc>
          <w:tcPr>
            <w:tcW w:type="dxa" w:w="3008"/>
            <w:vAlign w:val="center"/>
          </w:tcPr>
          <w:p>
            <w:r>
              <w:rPr>
                <w:sz w:val="16"/>
              </w:rPr>
              <w:t>Complete</w:t>
            </w:r>
          </w:p>
        </w:tc>
      </w:tr>
      <w:tr>
        <w:trPr>
          <w:cantSplit/>
        </w:trPr>
        <w:tc>
          <w:tcPr>
            <w:tcW w:type="dxa" w:w="3008"/>
            <w:vAlign w:val="center"/>
          </w:tcPr>
          <w:p>
            <w:r>
              <w:rPr>
                <w:sz w:val="16"/>
              </w:rPr>
              <w:t>Due dates</w:t>
            </w:r>
          </w:p>
        </w:tc>
        <w:tc>
          <w:tcPr>
            <w:tcW w:type="dxa" w:w="3008"/>
            <w:vAlign w:val="center"/>
          </w:tcPr>
          <w:p>
            <w:r>
              <w:rPr>
                <w:sz w:val="16"/>
              </w:rPr>
              <w:t>Exact Week 1 due dates are populated in Planner rather than left as placeholders.</w:t>
            </w:r>
          </w:p>
        </w:tc>
        <w:tc>
          <w:tcPr>
            <w:tcW w:type="dxa" w:w="3008"/>
            <w:vAlign w:val="center"/>
          </w:tcPr>
          <w:p>
            <w:r>
              <w:rPr>
                <w:sz w:val="16"/>
              </w:rPr>
              <w:t>Complete</w:t>
            </w:r>
          </w:p>
        </w:tc>
      </w:tr>
      <w:tr>
        <w:trPr>
          <w:cantSplit/>
        </w:trPr>
        <w:tc>
          <w:tcPr>
            <w:tcW w:type="dxa" w:w="3008"/>
            <w:vAlign w:val="center"/>
          </w:tcPr>
          <w:p>
            <w:r>
              <w:rPr>
                <w:sz w:val="16"/>
              </w:rPr>
              <w:t>Workload budget</w:t>
            </w:r>
          </w:p>
        </w:tc>
        <w:tc>
          <w:tcPr>
            <w:tcW w:type="dxa" w:w="3008"/>
            <w:vAlign w:val="center"/>
          </w:tcPr>
          <w:p>
            <w:r>
              <w:rPr>
                <w:sz w:val="16"/>
              </w:rPr>
              <w:t>Each team member has 240 planned minutes for Sprint 2 Week 1.</w:t>
            </w:r>
          </w:p>
        </w:tc>
        <w:tc>
          <w:tcPr>
            <w:tcW w:type="dxa" w:w="3008"/>
            <w:vAlign w:val="center"/>
          </w:tcPr>
          <w:p>
            <w:r>
              <w:rPr>
                <w:sz w:val="16"/>
              </w:rPr>
              <w:t>Complete</w:t>
            </w:r>
          </w:p>
        </w:tc>
      </w:tr>
      <w:tr>
        <w:trPr>
          <w:cantSplit/>
        </w:trPr>
        <w:tc>
          <w:tcPr>
            <w:tcW w:type="dxa" w:w="3008"/>
            <w:vAlign w:val="center"/>
          </w:tcPr>
          <w:p>
            <w:r>
              <w:rPr>
                <w:sz w:val="16"/>
              </w:rPr>
              <w:t>Gantt alignment</w:t>
            </w:r>
          </w:p>
        </w:tc>
        <w:tc>
          <w:tcPr>
            <w:tcW w:type="dxa" w:w="3008"/>
            <w:vAlign w:val="center"/>
          </w:tcPr>
          <w:p>
            <w:r>
              <w:rPr>
                <w:sz w:val="16"/>
              </w:rPr>
              <w:t>Week 1 task names, owners, estimates and sequencing match the Sprint 2 planning workbook; Weeks 2-3 remain the approved high-level outline.</w:t>
            </w:r>
          </w:p>
        </w:tc>
        <w:tc>
          <w:tcPr>
            <w:tcW w:type="dxa" w:w="3008"/>
            <w:vAlign w:val="center"/>
          </w:tcPr>
          <w:p>
            <w:r>
              <w:rPr>
                <w:sz w:val="16"/>
              </w:rPr>
              <w:t>Complete</w:t>
            </w:r>
          </w:p>
        </w:tc>
      </w:tr>
      <w:tr>
        <w:trPr>
          <w:cantSplit/>
        </w:trPr>
        <w:tc>
          <w:tcPr>
            <w:tcW w:type="dxa" w:w="3008"/>
            <w:vAlign w:val="center"/>
          </w:tcPr>
          <w:p>
            <w:r>
              <w:rPr>
                <w:sz w:val="16"/>
              </w:rPr>
              <w:t>Dependencies</w:t>
            </w:r>
          </w:p>
        </w:tc>
        <w:tc>
          <w:tcPr>
            <w:tcW w:type="dxa" w:w="3008"/>
            <w:vAlign w:val="center"/>
          </w:tcPr>
          <w:p>
            <w:r>
              <w:rPr>
                <w:sz w:val="16"/>
              </w:rPr>
              <w:t>Blocking dependencies are represented in the planning workbook so dependent work does not begin before its stated predecessor finishes.</w:t>
            </w:r>
          </w:p>
        </w:tc>
        <w:tc>
          <w:tcPr>
            <w:tcW w:type="dxa" w:w="3008"/>
            <w:vAlign w:val="center"/>
          </w:tcPr>
          <w:p>
            <w:r>
              <w:rPr>
                <w:sz w:val="16"/>
              </w:rPr>
              <w:t>Complete</w:t>
            </w:r>
          </w:p>
        </w:tc>
      </w:tr>
      <w:tr>
        <w:trPr>
          <w:cantSplit/>
        </w:trPr>
        <w:tc>
          <w:tcPr>
            <w:tcW w:type="dxa" w:w="3008"/>
            <w:vAlign w:val="center"/>
          </w:tcPr>
          <w:p>
            <w:r>
              <w:rPr>
                <w:sz w:val="16"/>
              </w:rPr>
              <w:t>Evidence / handoff rule</w:t>
            </w:r>
          </w:p>
        </w:tc>
        <w:tc>
          <w:tcPr>
            <w:tcW w:type="dxa" w:w="3008"/>
            <w:vAlign w:val="center"/>
          </w:tcPr>
          <w:p>
            <w:r>
              <w:rPr>
                <w:sz w:val="16"/>
              </w:rPr>
              <w:t>Planner completion notes use Done / Deliverable / Note for next role / Git or artifact URL so execution and handoff evidence stay traceable.</w:t>
            </w:r>
          </w:p>
        </w:tc>
        <w:tc>
          <w:tcPr>
            <w:tcW w:type="dxa" w:w="3008"/>
            <w:vAlign w:val="center"/>
          </w:tcPr>
          <w:p>
            <w:r>
              <w:rPr>
                <w:sz w:val="16"/>
              </w:rPr>
              <w:t>Complete</w:t>
            </w:r>
          </w:p>
        </w:tc>
      </w:tr>
      <w:tr>
        <w:trPr>
          <w:cantSplit/>
        </w:trPr>
        <w:tc>
          <w:tcPr>
            <w:tcW w:type="dxa" w:w="3008"/>
            <w:vAlign w:val="center"/>
          </w:tcPr>
          <w:p>
            <w:r>
              <w:rPr>
                <w:sz w:val="16"/>
              </w:rPr>
              <w:t>Review checkpoints</w:t>
            </w:r>
          </w:p>
        </w:tc>
        <w:tc>
          <w:tcPr>
            <w:tcW w:type="dxa" w:w="3008"/>
            <w:vAlign w:val="center"/>
          </w:tcPr>
          <w:p>
            <w:r>
              <w:rPr>
                <w:sz w:val="16"/>
              </w:rPr>
              <w:t>PM governance, BA validation, UX handoff, developer cross-testing and client/supervisor review points are built into the Sprint 2 sequence.</w:t>
            </w:r>
          </w:p>
        </w:tc>
        <w:tc>
          <w:tcPr>
            <w:tcW w:type="dxa" w:w="3008"/>
            <w:vAlign w:val="center"/>
          </w:tcPr>
          <w:p>
            <w:r>
              <w:rPr>
                <w:sz w:val="16"/>
              </w:rPr>
              <w:t>Complete</w:t>
            </w:r>
          </w:p>
        </w:tc>
      </w:tr>
      <w:tr>
        <w:trPr>
          <w:cantSplit/>
        </w:trPr>
        <w:tc>
          <w:tcPr>
            <w:tcW w:type="dxa" w:w="3008"/>
            <w:vAlign w:val="center"/>
          </w:tcPr>
          <w:p>
            <w:r>
              <w:rPr>
                <w:sz w:val="16"/>
              </w:rPr>
              <w:t>Scope control</w:t>
            </w:r>
          </w:p>
        </w:tc>
        <w:tc>
          <w:tcPr>
            <w:tcW w:type="dxa" w:w="3008"/>
            <w:vAlign w:val="center"/>
          </w:tcPr>
          <w:p>
            <w:r>
              <w:rPr>
                <w:sz w:val="16"/>
              </w:rPr>
              <w:t>No task expands Sprint 2 beyond the agreed representative reusable Core MVP without an explicit recorded decision.</w:t>
            </w:r>
          </w:p>
        </w:tc>
        <w:tc>
          <w:tcPr>
            <w:tcW w:type="dxa" w:w="3008"/>
            <w:vAlign w:val="center"/>
          </w:tcPr>
          <w:p>
            <w:r>
              <w:rPr>
                <w:sz w:val="16"/>
              </w:rPr>
              <w:t>Complete</w:t>
            </w:r>
          </w:p>
        </w:tc>
      </w:tr>
    </w:tbl>
    <w:p>
      <w:pPr>
        <w:pStyle w:val="Heading1"/>
      </w:pPr>
      <w:r>
        <w:t>3. Sprint 2 Week 1 task allocation</w:t>
      </w:r>
    </w:p>
    <w:tbl>
      <w:tblPr>
        <w:tblStyle w:val="TableGrid"/>
        <w:tblW w:type="auto" w:w="0"/>
        <w:tblLook w:firstColumn="1" w:firstRow="1" w:lastColumn="0" w:lastRow="0" w:noHBand="0" w:noVBand="1" w:val="04A0"/>
      </w:tblPr>
      <w:tblGrid>
        <w:gridCol w:w="2256"/>
        <w:gridCol w:w="2256"/>
        <w:gridCol w:w="2256"/>
        <w:gridCol w:w="2256"/>
      </w:tblGrid>
      <w:tr>
        <w:trPr>
          <w:tblHeader w:val="true"/>
          <w:cantSplit/>
        </w:trPr>
        <w:tc>
          <w:tcPr>
            <w:tcW w:type="dxa" w:w="2256"/>
            <w:vAlign w:val="center"/>
          </w:tcPr>
          <w:p>
            <w:r>
              <w:rPr>
                <w:b/>
                <w:sz w:val="16"/>
              </w:rPr>
              <w:t>Task</w:t>
            </w:r>
          </w:p>
        </w:tc>
        <w:tc>
          <w:tcPr>
            <w:tcW w:type="dxa" w:w="2256"/>
            <w:vAlign w:val="center"/>
          </w:tcPr>
          <w:p>
            <w:r>
              <w:rPr>
                <w:b/>
                <w:sz w:val="16"/>
              </w:rPr>
              <w:t>Owner</w:t>
            </w:r>
          </w:p>
        </w:tc>
        <w:tc>
          <w:tcPr>
            <w:tcW w:type="dxa" w:w="2256"/>
            <w:vAlign w:val="center"/>
          </w:tcPr>
          <w:p>
            <w:r>
              <w:rPr>
                <w:b/>
                <w:sz w:val="16"/>
              </w:rPr>
              <w:t>Minutes</w:t>
            </w:r>
          </w:p>
        </w:tc>
        <w:tc>
          <w:tcPr>
            <w:tcW w:type="dxa" w:w="2256"/>
            <w:vAlign w:val="center"/>
          </w:tcPr>
          <w:p>
            <w:r>
              <w:rPr>
                <w:b/>
                <w:sz w:val="16"/>
              </w:rPr>
              <w:t>Week 1 work package</w:t>
            </w:r>
          </w:p>
        </w:tc>
      </w:tr>
      <w:tr>
        <w:trPr>
          <w:cantSplit/>
        </w:trPr>
        <w:tc>
          <w:tcPr>
            <w:tcW w:type="dxa" w:w="2256"/>
            <w:vAlign w:val="center"/>
          </w:tcPr>
          <w:p>
            <w:r>
              <w:rPr>
                <w:sz w:val="16"/>
              </w:rPr>
              <w:t>31</w:t>
            </w:r>
          </w:p>
        </w:tc>
        <w:tc>
          <w:tcPr>
            <w:tcW w:type="dxa" w:w="2256"/>
            <w:vAlign w:val="center"/>
          </w:tcPr>
          <w:p>
            <w:r>
              <w:rPr>
                <w:sz w:val="16"/>
              </w:rPr>
              <w:t>Aryan Rajendra / PM</w:t>
            </w:r>
          </w:p>
        </w:tc>
        <w:tc>
          <w:tcPr>
            <w:tcW w:type="dxa" w:w="2256"/>
            <w:vAlign w:val="center"/>
          </w:tcPr>
          <w:p>
            <w:r>
              <w:rPr>
                <w:sz w:val="16"/>
              </w:rPr>
              <w:t>90</w:t>
            </w:r>
          </w:p>
        </w:tc>
        <w:tc>
          <w:tcPr>
            <w:tcW w:type="dxa" w:w="2256"/>
            <w:vAlign w:val="center"/>
          </w:tcPr>
          <w:p>
            <w:r>
              <w:rPr>
                <w:sz w:val="16"/>
              </w:rPr>
              <w:t>Initialise Sprint 2 Core MVP in Planner/Gantt and establish evidence/review controls.</w:t>
            </w:r>
          </w:p>
        </w:tc>
      </w:tr>
      <w:tr>
        <w:trPr>
          <w:cantSplit/>
        </w:trPr>
        <w:tc>
          <w:tcPr>
            <w:tcW w:type="dxa" w:w="2256"/>
            <w:vAlign w:val="center"/>
          </w:tcPr>
          <w:p>
            <w:r>
              <w:rPr>
                <w:sz w:val="16"/>
              </w:rPr>
              <w:t>32</w:t>
            </w:r>
          </w:p>
        </w:tc>
        <w:tc>
          <w:tcPr>
            <w:tcW w:type="dxa" w:w="2256"/>
            <w:vAlign w:val="center"/>
          </w:tcPr>
          <w:p>
            <w:r>
              <w:rPr>
                <w:sz w:val="16"/>
              </w:rPr>
              <w:t>Aryan Rajendra / PM</w:t>
            </w:r>
          </w:p>
        </w:tc>
        <w:tc>
          <w:tcPr>
            <w:tcW w:type="dxa" w:w="2256"/>
            <w:vAlign w:val="center"/>
          </w:tcPr>
          <w:p>
            <w:r>
              <w:rPr>
                <w:sz w:val="16"/>
              </w:rPr>
              <w:t>150</w:t>
            </w:r>
          </w:p>
        </w:tc>
        <w:tc>
          <w:tcPr>
            <w:tcW w:type="dxa" w:w="2256"/>
            <w:vAlign w:val="center"/>
          </w:tcPr>
          <w:p>
            <w:r>
              <w:rPr>
                <w:sz w:val="16"/>
              </w:rPr>
              <w:t>Update the risk/decision baseline and prepare the client/supervisor and site-level escalation route.</w:t>
            </w:r>
          </w:p>
        </w:tc>
      </w:tr>
      <w:tr>
        <w:trPr>
          <w:cantSplit/>
        </w:trPr>
        <w:tc>
          <w:tcPr>
            <w:tcW w:type="dxa" w:w="2256"/>
            <w:vAlign w:val="center"/>
          </w:tcPr>
          <w:p>
            <w:r>
              <w:rPr>
                <w:sz w:val="16"/>
              </w:rPr>
              <w:t>33</w:t>
            </w:r>
          </w:p>
        </w:tc>
        <w:tc>
          <w:tcPr>
            <w:tcW w:type="dxa" w:w="2256"/>
            <w:vAlign w:val="center"/>
          </w:tcPr>
          <w:p>
            <w:r>
              <w:rPr>
                <w:sz w:val="16"/>
              </w:rPr>
              <w:t>Riley Pittard / BA</w:t>
            </w:r>
          </w:p>
        </w:tc>
        <w:tc>
          <w:tcPr>
            <w:tcW w:type="dxa" w:w="2256"/>
            <w:vAlign w:val="center"/>
          </w:tcPr>
          <w:p>
            <w:r>
              <w:rPr>
                <w:sz w:val="16"/>
              </w:rPr>
              <w:t>120</w:t>
            </w:r>
          </w:p>
        </w:tc>
        <w:tc>
          <w:tcPr>
            <w:tcW w:type="dxa" w:w="2256"/>
            <w:vAlign w:val="center"/>
          </w:tcPr>
          <w:p>
            <w:r>
              <w:rPr>
                <w:sz w:val="16"/>
              </w:rPr>
              <w:t>Convert Core MVP acceptance criteria into build/test checks.</w:t>
            </w:r>
          </w:p>
        </w:tc>
      </w:tr>
      <w:tr>
        <w:trPr>
          <w:cantSplit/>
        </w:trPr>
        <w:tc>
          <w:tcPr>
            <w:tcW w:type="dxa" w:w="2256"/>
            <w:vAlign w:val="center"/>
          </w:tcPr>
          <w:p>
            <w:r>
              <w:rPr>
                <w:sz w:val="16"/>
              </w:rPr>
              <w:t>34</w:t>
            </w:r>
          </w:p>
        </w:tc>
        <w:tc>
          <w:tcPr>
            <w:tcW w:type="dxa" w:w="2256"/>
            <w:vAlign w:val="center"/>
          </w:tcPr>
          <w:p>
            <w:r>
              <w:rPr>
                <w:sz w:val="16"/>
              </w:rPr>
              <w:t>Riley Pittard / BA</w:t>
            </w:r>
          </w:p>
        </w:tc>
        <w:tc>
          <w:tcPr>
            <w:tcW w:type="dxa" w:w="2256"/>
            <w:vAlign w:val="center"/>
          </w:tcPr>
          <w:p>
            <w:r>
              <w:rPr>
                <w:sz w:val="16"/>
              </w:rPr>
              <w:t>120</w:t>
            </w:r>
          </w:p>
        </w:tc>
        <w:tc>
          <w:tcPr>
            <w:tcW w:type="dxa" w:w="2256"/>
            <w:vAlign w:val="center"/>
          </w:tcPr>
          <w:p>
            <w:r>
              <w:rPr>
                <w:sz w:val="16"/>
              </w:rPr>
              <w:t>Confirm Week 1 requirement decisions and hand off unresolved items.</w:t>
            </w:r>
          </w:p>
        </w:tc>
      </w:tr>
      <w:tr>
        <w:trPr>
          <w:cantSplit/>
        </w:trPr>
        <w:tc>
          <w:tcPr>
            <w:tcW w:type="dxa" w:w="2256"/>
            <w:vAlign w:val="center"/>
          </w:tcPr>
          <w:p>
            <w:r>
              <w:rPr>
                <w:sz w:val="16"/>
              </w:rPr>
              <w:t>35</w:t>
            </w:r>
          </w:p>
        </w:tc>
        <w:tc>
          <w:tcPr>
            <w:tcW w:type="dxa" w:w="2256"/>
            <w:vAlign w:val="center"/>
          </w:tcPr>
          <w:p>
            <w:r>
              <w:rPr>
                <w:sz w:val="16"/>
              </w:rPr>
              <w:t>Walaa Ghanduri / UX</w:t>
            </w:r>
          </w:p>
        </w:tc>
        <w:tc>
          <w:tcPr>
            <w:tcW w:type="dxa" w:w="2256"/>
            <w:vAlign w:val="center"/>
          </w:tcPr>
          <w:p>
            <w:r>
              <w:rPr>
                <w:sz w:val="16"/>
              </w:rPr>
              <w:t>150</w:t>
            </w:r>
          </w:p>
        </w:tc>
        <w:tc>
          <w:tcPr>
            <w:tcW w:type="dxa" w:w="2256"/>
            <w:vAlign w:val="center"/>
          </w:tcPr>
          <w:p>
            <w:r>
              <w:rPr>
                <w:sz w:val="16"/>
              </w:rPr>
              <w:t>Issue the Moodle-ready UX handoff for Course Home, modules, navigation/signposting and Brand Book rules.</w:t>
            </w:r>
          </w:p>
        </w:tc>
      </w:tr>
      <w:tr>
        <w:trPr>
          <w:cantSplit/>
        </w:trPr>
        <w:tc>
          <w:tcPr>
            <w:tcW w:type="dxa" w:w="2256"/>
            <w:vAlign w:val="center"/>
          </w:tcPr>
          <w:p>
            <w:r>
              <w:rPr>
                <w:sz w:val="16"/>
              </w:rPr>
              <w:t>36</w:t>
            </w:r>
          </w:p>
        </w:tc>
        <w:tc>
          <w:tcPr>
            <w:tcW w:type="dxa" w:w="2256"/>
            <w:vAlign w:val="center"/>
          </w:tcPr>
          <w:p>
            <w:r>
              <w:rPr>
                <w:sz w:val="16"/>
              </w:rPr>
              <w:t>Walaa Ghanduri / UX</w:t>
            </w:r>
          </w:p>
        </w:tc>
        <w:tc>
          <w:tcPr>
            <w:tcW w:type="dxa" w:w="2256"/>
            <w:vAlign w:val="center"/>
          </w:tcPr>
          <w:p>
            <w:r>
              <w:rPr>
                <w:sz w:val="16"/>
              </w:rPr>
              <w:t>90</w:t>
            </w:r>
          </w:p>
        </w:tc>
        <w:tc>
          <w:tcPr>
            <w:tcW w:type="dxa" w:w="2256"/>
            <w:vAlign w:val="center"/>
          </w:tcPr>
          <w:p>
            <w:r>
              <w:rPr>
                <w:sz w:val="16"/>
              </w:rPr>
              <w:t>Map the approved UX to real Academy constraints and identify feasible alternatives.</w:t>
            </w:r>
          </w:p>
        </w:tc>
      </w:tr>
      <w:tr>
        <w:trPr>
          <w:cantSplit/>
        </w:trPr>
        <w:tc>
          <w:tcPr>
            <w:tcW w:type="dxa" w:w="2256"/>
            <w:vAlign w:val="center"/>
          </w:tcPr>
          <w:p>
            <w:r>
              <w:rPr>
                <w:sz w:val="16"/>
              </w:rPr>
              <w:t>37</w:t>
            </w:r>
          </w:p>
        </w:tc>
        <w:tc>
          <w:tcPr>
            <w:tcW w:type="dxa" w:w="2256"/>
            <w:vAlign w:val="center"/>
          </w:tcPr>
          <w:p>
            <w:r>
              <w:rPr>
                <w:sz w:val="16"/>
              </w:rPr>
              <w:t>Reshan Lahandapura / Dev 1</w:t>
            </w:r>
          </w:p>
        </w:tc>
        <w:tc>
          <w:tcPr>
            <w:tcW w:type="dxa" w:w="2256"/>
            <w:vAlign w:val="center"/>
          </w:tcPr>
          <w:p>
            <w:r>
              <w:rPr>
                <w:sz w:val="16"/>
              </w:rPr>
              <w:t>150</w:t>
            </w:r>
          </w:p>
        </w:tc>
        <w:tc>
          <w:tcPr>
            <w:tcW w:type="dxa" w:w="2256"/>
            <w:vAlign w:val="center"/>
          </w:tcPr>
          <w:p>
            <w:r>
              <w:rPr>
                <w:sz w:val="16"/>
              </w:rPr>
              <w:t>Configure the reusable course shell in the OAPA development environment where access permits.</w:t>
            </w:r>
          </w:p>
        </w:tc>
      </w:tr>
      <w:tr>
        <w:trPr>
          <w:cantSplit/>
        </w:trPr>
        <w:tc>
          <w:tcPr>
            <w:tcW w:type="dxa" w:w="2256"/>
            <w:vAlign w:val="center"/>
          </w:tcPr>
          <w:p>
            <w:r>
              <w:rPr>
                <w:sz w:val="16"/>
              </w:rPr>
              <w:t>38</w:t>
            </w:r>
          </w:p>
        </w:tc>
        <w:tc>
          <w:tcPr>
            <w:tcW w:type="dxa" w:w="2256"/>
            <w:vAlign w:val="center"/>
          </w:tcPr>
          <w:p>
            <w:r>
              <w:rPr>
                <w:sz w:val="16"/>
              </w:rPr>
              <w:t>Reshan Lahandapura / Dev 1</w:t>
            </w:r>
          </w:p>
        </w:tc>
        <w:tc>
          <w:tcPr>
            <w:tcW w:type="dxa" w:w="2256"/>
            <w:vAlign w:val="center"/>
          </w:tcPr>
          <w:p>
            <w:r>
              <w:rPr>
                <w:sz w:val="16"/>
              </w:rPr>
              <w:t>90</w:t>
            </w:r>
          </w:p>
        </w:tc>
        <w:tc>
          <w:tcPr>
            <w:tcW w:type="dxa" w:w="2256"/>
            <w:vAlign w:val="center"/>
          </w:tcPr>
          <w:p>
            <w:r>
              <w:rPr>
                <w:sz w:val="16"/>
              </w:rPr>
              <w:t>Configure sequential completion/restricted access and capture Student-view progression evidence.</w:t>
            </w:r>
          </w:p>
        </w:tc>
      </w:tr>
      <w:tr>
        <w:trPr>
          <w:cantSplit/>
        </w:trPr>
        <w:tc>
          <w:tcPr>
            <w:tcW w:type="dxa" w:w="2256"/>
            <w:vAlign w:val="center"/>
          </w:tcPr>
          <w:p>
            <w:r>
              <w:rPr>
                <w:sz w:val="16"/>
              </w:rPr>
              <w:t>39</w:t>
            </w:r>
          </w:p>
        </w:tc>
        <w:tc>
          <w:tcPr>
            <w:tcW w:type="dxa" w:w="2256"/>
            <w:vAlign w:val="center"/>
          </w:tcPr>
          <w:p>
            <w:r>
              <w:rPr>
                <w:sz w:val="16"/>
              </w:rPr>
              <w:t>Shaikh Zarin Tasnim / Dev 2</w:t>
            </w:r>
          </w:p>
        </w:tc>
        <w:tc>
          <w:tcPr>
            <w:tcW w:type="dxa" w:w="2256"/>
            <w:vAlign w:val="center"/>
          </w:tcPr>
          <w:p>
            <w:r>
              <w:rPr>
                <w:sz w:val="16"/>
              </w:rPr>
              <w:t>120</w:t>
            </w:r>
          </w:p>
        </w:tc>
        <w:tc>
          <w:tcPr>
            <w:tcW w:type="dxa" w:w="2256"/>
            <w:vAlign w:val="center"/>
          </w:tcPr>
          <w:p>
            <w:r>
              <w:rPr>
                <w:sz w:val="16"/>
              </w:rPr>
              <w:t>Configure a representative Moodle-native self-check/tracking pattern; H5P remains conditional.</w:t>
            </w:r>
          </w:p>
        </w:tc>
      </w:tr>
      <w:tr>
        <w:trPr>
          <w:cantSplit/>
        </w:trPr>
        <w:tc>
          <w:tcPr>
            <w:tcW w:type="dxa" w:w="2256"/>
            <w:vAlign w:val="center"/>
          </w:tcPr>
          <w:p>
            <w:r>
              <w:rPr>
                <w:sz w:val="16"/>
              </w:rPr>
              <w:t>40</w:t>
            </w:r>
          </w:p>
        </w:tc>
        <w:tc>
          <w:tcPr>
            <w:tcW w:type="dxa" w:w="2256"/>
            <w:vAlign w:val="center"/>
          </w:tcPr>
          <w:p>
            <w:r>
              <w:rPr>
                <w:sz w:val="16"/>
              </w:rPr>
              <w:t>Shaikh Zarin Tasnim / Dev 2</w:t>
            </w:r>
          </w:p>
        </w:tc>
        <w:tc>
          <w:tcPr>
            <w:tcW w:type="dxa" w:w="2256"/>
            <w:vAlign w:val="center"/>
          </w:tcPr>
          <w:p>
            <w:r>
              <w:rPr>
                <w:sz w:val="16"/>
              </w:rPr>
              <w:t>120</w:t>
            </w:r>
          </w:p>
        </w:tc>
        <w:tc>
          <w:tcPr>
            <w:tcW w:type="dxa" w:w="2256"/>
            <w:vAlign w:val="center"/>
          </w:tcPr>
          <w:p>
            <w:r>
              <w:rPr>
                <w:sz w:val="16"/>
              </w:rPr>
              <w:t>Independently cross-test the Week 1 course structure and progression and log defects.</w:t>
            </w:r>
          </w:p>
        </w:tc>
      </w:tr>
    </w:tbl>
    <w:p>
      <w:pPr>
        <w:pStyle w:val="Heading1"/>
      </w:pPr>
      <w:r>
        <w:t>4. Weekly workload control</w:t>
      </w:r>
    </w:p>
    <w:tbl>
      <w:tblPr>
        <w:tblStyle w:val="TableGrid"/>
        <w:tblW w:type="auto" w:w="0"/>
        <w:tblLook w:firstColumn="1" w:firstRow="1" w:lastColumn="0" w:lastRow="0" w:noHBand="0" w:noVBand="1" w:val="04A0"/>
      </w:tblPr>
      <w:tblGrid>
        <w:gridCol w:w="2256"/>
        <w:gridCol w:w="2256"/>
        <w:gridCol w:w="2256"/>
        <w:gridCol w:w="2256"/>
      </w:tblGrid>
      <w:tr>
        <w:trPr>
          <w:tblHeader w:val="true"/>
          <w:cantSplit/>
        </w:trPr>
        <w:tc>
          <w:tcPr>
            <w:tcW w:type="dxa" w:w="2256"/>
            <w:vAlign w:val="center"/>
          </w:tcPr>
          <w:p>
            <w:r>
              <w:rPr>
                <w:b/>
                <w:sz w:val="16"/>
              </w:rPr>
              <w:t>Team member</w:t>
            </w:r>
          </w:p>
        </w:tc>
        <w:tc>
          <w:tcPr>
            <w:tcW w:type="dxa" w:w="2256"/>
            <w:vAlign w:val="center"/>
          </w:tcPr>
          <w:p>
            <w:r>
              <w:rPr>
                <w:b/>
                <w:sz w:val="16"/>
              </w:rPr>
              <w:t>Role</w:t>
            </w:r>
          </w:p>
        </w:tc>
        <w:tc>
          <w:tcPr>
            <w:tcW w:type="dxa" w:w="2256"/>
            <w:vAlign w:val="center"/>
          </w:tcPr>
          <w:p>
            <w:r>
              <w:rPr>
                <w:b/>
                <w:sz w:val="16"/>
              </w:rPr>
              <w:t>Week 1 planned minutes</w:t>
            </w:r>
          </w:p>
        </w:tc>
        <w:tc>
          <w:tcPr>
            <w:tcW w:type="dxa" w:w="2256"/>
            <w:vAlign w:val="center"/>
          </w:tcPr>
          <w:p>
            <w:r>
              <w:rPr>
                <w:b/>
                <w:sz w:val="16"/>
              </w:rPr>
              <w:t>Control result</w:t>
            </w:r>
          </w:p>
        </w:tc>
      </w:tr>
      <w:tr>
        <w:trPr>
          <w:cantSplit/>
        </w:trPr>
        <w:tc>
          <w:tcPr>
            <w:tcW w:type="dxa" w:w="2256"/>
            <w:vAlign w:val="center"/>
          </w:tcPr>
          <w:p>
            <w:r>
              <w:rPr>
                <w:sz w:val="16"/>
              </w:rPr>
              <w:t>Aryan Rajendra</w:t>
            </w:r>
          </w:p>
        </w:tc>
        <w:tc>
          <w:tcPr>
            <w:tcW w:type="dxa" w:w="2256"/>
            <w:vAlign w:val="center"/>
          </w:tcPr>
          <w:p>
            <w:r>
              <w:rPr>
                <w:sz w:val="16"/>
              </w:rPr>
              <w:t>Project Manager</w:t>
            </w:r>
          </w:p>
        </w:tc>
        <w:tc>
          <w:tcPr>
            <w:tcW w:type="dxa" w:w="2256"/>
            <w:vAlign w:val="center"/>
          </w:tcPr>
          <w:p>
            <w:r>
              <w:rPr>
                <w:sz w:val="16"/>
              </w:rPr>
              <w:t>240</w:t>
            </w:r>
          </w:p>
        </w:tc>
        <w:tc>
          <w:tcPr>
            <w:tcW w:type="dxa" w:w="2256"/>
            <w:vAlign w:val="center"/>
          </w:tcPr>
          <w:p>
            <w:r>
              <w:rPr>
                <w:sz w:val="16"/>
              </w:rPr>
              <w:t>Meets requirement</w:t>
            </w:r>
          </w:p>
        </w:tc>
      </w:tr>
      <w:tr>
        <w:trPr>
          <w:cantSplit/>
        </w:trPr>
        <w:tc>
          <w:tcPr>
            <w:tcW w:type="dxa" w:w="2256"/>
            <w:vAlign w:val="center"/>
          </w:tcPr>
          <w:p>
            <w:r>
              <w:rPr>
                <w:sz w:val="16"/>
              </w:rPr>
              <w:t>Riley Pittard</w:t>
            </w:r>
          </w:p>
        </w:tc>
        <w:tc>
          <w:tcPr>
            <w:tcW w:type="dxa" w:w="2256"/>
            <w:vAlign w:val="center"/>
          </w:tcPr>
          <w:p>
            <w:r>
              <w:rPr>
                <w:sz w:val="16"/>
              </w:rPr>
              <w:t>Business Analyst</w:t>
            </w:r>
          </w:p>
        </w:tc>
        <w:tc>
          <w:tcPr>
            <w:tcW w:type="dxa" w:w="2256"/>
            <w:vAlign w:val="center"/>
          </w:tcPr>
          <w:p>
            <w:r>
              <w:rPr>
                <w:sz w:val="16"/>
              </w:rPr>
              <w:t>240</w:t>
            </w:r>
          </w:p>
        </w:tc>
        <w:tc>
          <w:tcPr>
            <w:tcW w:type="dxa" w:w="2256"/>
            <w:vAlign w:val="center"/>
          </w:tcPr>
          <w:p>
            <w:r>
              <w:rPr>
                <w:sz w:val="16"/>
              </w:rPr>
              <w:t>Meets requirement</w:t>
            </w:r>
          </w:p>
        </w:tc>
      </w:tr>
      <w:tr>
        <w:trPr>
          <w:cantSplit/>
        </w:trPr>
        <w:tc>
          <w:tcPr>
            <w:tcW w:type="dxa" w:w="2256"/>
            <w:vAlign w:val="center"/>
          </w:tcPr>
          <w:p>
            <w:r>
              <w:rPr>
                <w:sz w:val="16"/>
              </w:rPr>
              <w:t>Walaa Ghanduri</w:t>
            </w:r>
          </w:p>
        </w:tc>
        <w:tc>
          <w:tcPr>
            <w:tcW w:type="dxa" w:w="2256"/>
            <w:vAlign w:val="center"/>
          </w:tcPr>
          <w:p>
            <w:r>
              <w:rPr>
                <w:sz w:val="16"/>
              </w:rPr>
              <w:t>UX Designer</w:t>
            </w:r>
          </w:p>
        </w:tc>
        <w:tc>
          <w:tcPr>
            <w:tcW w:type="dxa" w:w="2256"/>
            <w:vAlign w:val="center"/>
          </w:tcPr>
          <w:p>
            <w:r>
              <w:rPr>
                <w:sz w:val="16"/>
              </w:rPr>
              <w:t>240</w:t>
            </w:r>
          </w:p>
        </w:tc>
        <w:tc>
          <w:tcPr>
            <w:tcW w:type="dxa" w:w="2256"/>
            <w:vAlign w:val="center"/>
          </w:tcPr>
          <w:p>
            <w:r>
              <w:rPr>
                <w:sz w:val="16"/>
              </w:rPr>
              <w:t>Meets requirement</w:t>
            </w:r>
          </w:p>
        </w:tc>
      </w:tr>
      <w:tr>
        <w:trPr>
          <w:cantSplit/>
        </w:trPr>
        <w:tc>
          <w:tcPr>
            <w:tcW w:type="dxa" w:w="2256"/>
            <w:vAlign w:val="center"/>
          </w:tcPr>
          <w:p>
            <w:r>
              <w:rPr>
                <w:sz w:val="16"/>
              </w:rPr>
              <w:t>Reshan Lahandapura</w:t>
            </w:r>
          </w:p>
        </w:tc>
        <w:tc>
          <w:tcPr>
            <w:tcW w:type="dxa" w:w="2256"/>
            <w:vAlign w:val="center"/>
          </w:tcPr>
          <w:p>
            <w:r>
              <w:rPr>
                <w:sz w:val="16"/>
              </w:rPr>
              <w:t>Developer 1</w:t>
            </w:r>
          </w:p>
        </w:tc>
        <w:tc>
          <w:tcPr>
            <w:tcW w:type="dxa" w:w="2256"/>
            <w:vAlign w:val="center"/>
          </w:tcPr>
          <w:p>
            <w:r>
              <w:rPr>
                <w:sz w:val="16"/>
              </w:rPr>
              <w:t>240</w:t>
            </w:r>
          </w:p>
        </w:tc>
        <w:tc>
          <w:tcPr>
            <w:tcW w:type="dxa" w:w="2256"/>
            <w:vAlign w:val="center"/>
          </w:tcPr>
          <w:p>
            <w:r>
              <w:rPr>
                <w:sz w:val="16"/>
              </w:rPr>
              <w:t>Meets requirement</w:t>
            </w:r>
          </w:p>
        </w:tc>
      </w:tr>
      <w:tr>
        <w:trPr>
          <w:cantSplit/>
        </w:trPr>
        <w:tc>
          <w:tcPr>
            <w:tcW w:type="dxa" w:w="2256"/>
            <w:vAlign w:val="center"/>
          </w:tcPr>
          <w:p>
            <w:r>
              <w:rPr>
                <w:sz w:val="16"/>
              </w:rPr>
              <w:t>Shaikh Zarin Tasnim</w:t>
            </w:r>
          </w:p>
        </w:tc>
        <w:tc>
          <w:tcPr>
            <w:tcW w:type="dxa" w:w="2256"/>
            <w:vAlign w:val="center"/>
          </w:tcPr>
          <w:p>
            <w:r>
              <w:rPr>
                <w:sz w:val="16"/>
              </w:rPr>
              <w:t>Developer 2</w:t>
            </w:r>
          </w:p>
        </w:tc>
        <w:tc>
          <w:tcPr>
            <w:tcW w:type="dxa" w:w="2256"/>
            <w:vAlign w:val="center"/>
          </w:tcPr>
          <w:p>
            <w:r>
              <w:rPr>
                <w:sz w:val="16"/>
              </w:rPr>
              <w:t>240</w:t>
            </w:r>
          </w:p>
        </w:tc>
        <w:tc>
          <w:tcPr>
            <w:tcW w:type="dxa" w:w="2256"/>
            <w:vAlign w:val="center"/>
          </w:tcPr>
          <w:p>
            <w:r>
              <w:rPr>
                <w:sz w:val="16"/>
              </w:rPr>
              <w:t>Meets requirement</w:t>
            </w:r>
          </w:p>
        </w:tc>
      </w:tr>
    </w:tbl>
    <w:p>
      <w:pPr>
        <w:pStyle w:val="Heading1"/>
      </w:pPr>
      <w:r>
        <w:t>5. Evidence and control sources</w:t>
      </w:r>
    </w:p>
    <w:tbl>
      <w:tblPr>
        <w:tblStyle w:val="TableGrid"/>
        <w:tblW w:type="auto" w:w="0"/>
        <w:tblLook w:firstColumn="1" w:firstRow="1" w:lastColumn="0" w:lastRow="0" w:noHBand="0" w:noVBand="1" w:val="04A0"/>
      </w:tblPr>
      <w:tblGrid>
        <w:gridCol w:w="4512"/>
        <w:gridCol w:w="4512"/>
      </w:tblGrid>
      <w:tr>
        <w:trPr>
          <w:tblHeader w:val="true"/>
          <w:cantSplit/>
        </w:trPr>
        <w:tc>
          <w:tcPr>
            <w:tcW w:type="dxa" w:w="4512"/>
            <w:vAlign w:val="center"/>
          </w:tcPr>
          <w:p>
            <w:r>
              <w:rPr>
                <w:b/>
                <w:sz w:val="16"/>
              </w:rPr>
              <w:t>Evidence source</w:t>
            </w:r>
          </w:p>
        </w:tc>
        <w:tc>
          <w:tcPr>
            <w:tcW w:type="dxa" w:w="4512"/>
            <w:vAlign w:val="center"/>
          </w:tcPr>
          <w:p>
            <w:r>
              <w:rPr>
                <w:b/>
                <w:sz w:val="16"/>
              </w:rPr>
              <w:t>Purpose</w:t>
            </w:r>
          </w:p>
        </w:tc>
      </w:tr>
      <w:tr>
        <w:trPr>
          <w:cantSplit/>
        </w:trPr>
        <w:tc>
          <w:tcPr>
            <w:tcW w:type="dxa" w:w="4512"/>
            <w:vAlign w:val="center"/>
          </w:tcPr>
          <w:p>
            <w:r>
              <w:rPr>
                <w:sz w:val="16"/>
              </w:rPr>
              <w:t>Microsoft Planner - Team 74 - Building an Editor Academy Moodle platform - Team A</w:t>
            </w:r>
          </w:p>
        </w:tc>
        <w:tc>
          <w:tcPr>
            <w:tcW w:type="dxa" w:w="4512"/>
            <w:vAlign w:val="center"/>
          </w:tcPr>
          <w:p>
            <w:r>
              <w:rPr>
                <w:sz w:val="16"/>
              </w:rPr>
              <w:t>Working Week 1 task board containing exact owners, due dates, descriptions, acceptance criteria and completion evidence.</w:t>
            </w:r>
          </w:p>
        </w:tc>
      </w:tr>
      <w:tr>
        <w:trPr>
          <w:cantSplit/>
        </w:trPr>
        <w:tc>
          <w:tcPr>
            <w:tcW w:type="dxa" w:w="4512"/>
            <w:vAlign w:val="center"/>
          </w:tcPr>
          <w:p>
            <w:r>
              <w:rPr>
                <w:sz w:val="16"/>
              </w:rPr>
              <w:t>74 - Building an Editor Academy Moodle platform - Team A - S1W3_ganttplan.xlsx</w:t>
            </w:r>
          </w:p>
        </w:tc>
        <w:tc>
          <w:tcPr>
            <w:tcW w:type="dxa" w:w="4512"/>
            <w:vAlign w:val="center"/>
          </w:tcPr>
          <w:p>
            <w:r>
              <w:rPr>
                <w:sz w:val="16"/>
              </w:rPr>
              <w:t>Approved three-week Sprint 2 schedule, workload allocation, dependencies and Gantt sequencing.</w:t>
            </w:r>
          </w:p>
        </w:tc>
      </w:tr>
      <w:tr>
        <w:trPr>
          <w:cantSplit/>
        </w:trPr>
        <w:tc>
          <w:tcPr>
            <w:tcW w:type="dxa" w:w="4512"/>
            <w:vAlign w:val="center"/>
          </w:tcPr>
          <w:p>
            <w:r>
              <w:rPr>
                <w:sz w:val="16"/>
              </w:rPr>
              <w:t>Sprint2CoreMVPImplementationPlan.docx</w:t>
            </w:r>
          </w:p>
        </w:tc>
        <w:tc>
          <w:tcPr>
            <w:tcW w:type="dxa" w:w="4512"/>
            <w:vAlign w:val="center"/>
          </w:tcPr>
          <w:p>
            <w:r>
              <w:rPr>
                <w:sz w:val="16"/>
              </w:rPr>
              <w:t>Controls the Sprint 2 Core MVP scope, implementation order, technical approach and role handoffs.</w:t>
            </w:r>
          </w:p>
        </w:tc>
      </w:tr>
      <w:tr>
        <w:trPr>
          <w:cantSplit/>
        </w:trPr>
        <w:tc>
          <w:tcPr>
            <w:tcW w:type="dxa" w:w="4512"/>
            <w:vAlign w:val="center"/>
          </w:tcPr>
          <w:p>
            <w:r>
              <w:rPr>
                <w:sz w:val="16"/>
              </w:rPr>
              <w:t>Sprint1CloseoutEvidenceSummary.docx</w:t>
            </w:r>
          </w:p>
        </w:tc>
        <w:tc>
          <w:tcPr>
            <w:tcW w:type="dxa" w:w="4512"/>
            <w:vAlign w:val="center"/>
          </w:tcPr>
          <w:p>
            <w:r>
              <w:rPr>
                <w:sz w:val="16"/>
              </w:rPr>
              <w:t>Provides the final Sprint 1 decisions, validated access position, unresolved dependencies and Sprint 2 handover baseline.</w:t>
            </w:r>
          </w:p>
        </w:tc>
      </w:tr>
      <w:tr>
        <w:trPr>
          <w:cantSplit/>
        </w:trPr>
        <w:tc>
          <w:tcPr>
            <w:tcW w:type="dxa" w:w="4512"/>
            <w:vAlign w:val="center"/>
          </w:tcPr>
          <w:p>
            <w:r>
              <w:rPr>
                <w:sz w:val="16"/>
              </w:rPr>
              <w:t>RiskDependencyEscalationCommunicationRegister.docx</w:t>
            </w:r>
          </w:p>
        </w:tc>
        <w:tc>
          <w:tcPr>
            <w:tcW w:type="dxa" w:w="4512"/>
            <w:vAlign w:val="center"/>
          </w:tcPr>
          <w:p>
            <w:r>
              <w:rPr>
                <w:sz w:val="16"/>
              </w:rPr>
              <w:t>Maintains the current Sprint 2 risk, decision, communication and exact site-level escalation position.</w:t>
            </w:r>
          </w:p>
        </w:tc>
      </w:tr>
    </w:tbl>
    <w:p>
      <w:pPr>
        <w:pStyle w:val="Heading1"/>
      </w:pPr>
      <w:r>
        <w:t>6. Review and evidence rule</w:t>
      </w:r>
    </w:p>
    <w:p>
      <w:pPr>
        <w:pStyle w:val="ListBullet"/>
      </w:pPr>
      <w:r>
        <w:t>The real OAPA development environment is the primary Sprint 2 implementation environment wherever current Teacher access permits.</w:t>
      </w:r>
    </w:p>
    <w:p>
      <w:pPr>
        <w:pStyle w:val="ListBullet"/>
      </w:pPr>
      <w:r>
        <w:t>A developer blocker is only escalated after the exact attempted action, failure, affected task/requirement and required OAPA action are recorded.</w:t>
      </w:r>
    </w:p>
    <w:p>
      <w:pPr>
        <w:pStyle w:val="ListBullet"/>
      </w:pPr>
      <w:r>
        <w:t>Both developers test their own work and independently cross-test the other developer's implementation.</w:t>
      </w:r>
    </w:p>
    <w:p>
      <w:pPr>
        <w:pStyle w:val="ListBullet"/>
      </w:pPr>
      <w:r>
        <w:t>H5P is optional and does not block the Core MVP while the current OAPA invalid-context issue remains unresolved.</w:t>
      </w:r>
    </w:p>
    <w:p>
      <w:pPr>
        <w:pStyle w:val="ListBullet"/>
      </w:pPr>
      <w:r>
        <w:t>Weeks 2 and 3 remain the approved high-level plan until each becomes the following week and is expanded into detailed Planner cards.</w:t>
      </w:r>
    </w:p>
    <w:p>
      <w:pPr>
        <w:pStyle w:val="Heading1"/>
      </w:pPr>
      <w:r>
        <w:t>7. Task 31 completion statement</w:t>
      </w:r>
    </w:p>
    <w:p>
      <w:r>
        <w:t>Task 31 is complete. Sprint 2 Week 1 is fully established in Planner and aligned with the approved Gantt and Core MVP baseline. Ownership, workload, evidence expectations, dependencies and review checkpoints are visible before implementation evidence is assessed, and the planning controls are ready to support Sprint 2 execution.</w:t>
      </w:r>
    </w:p>
    <w:sectPr w:rsidR="00346D6F" w:rsidRPr="00882888" w:rsidSect="00034616">
      <w:headerReference w:type="default" r:id="rId8"/>
      <w:footerReference w:type="default" r:id="rId9"/>
      <w:pgSz w:w="11905" w:h="16838"/>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1B1E8" w14:textId="77777777" w:rsidR="00140FF3" w:rsidRDefault="00140FF3">
      <w:pPr>
        <w:spacing w:after="0" w:line="240" w:lineRule="auto"/>
        <w:rPr>
          <w:rFonts w:hint="eastAsia"/>
        </w:rPr>
      </w:pPr>
      <w:r>
        <w:separator/>
      </w:r>
    </w:p>
  </w:endnote>
  <w:endnote w:type="continuationSeparator" w:id="0">
    <w:p w14:paraId="1586A87D" w14:textId="77777777" w:rsidR="00140FF3" w:rsidRDefault="00140F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4EBE" w14:textId="77777777" w:rsidR="00941CEE" w:rsidRDefault="00941CEE">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2BCCD" w14:textId="77777777" w:rsidR="00140FF3" w:rsidRDefault="00140FF3">
      <w:pPr>
        <w:spacing w:after="0" w:line="240" w:lineRule="auto"/>
        <w:rPr>
          <w:rFonts w:hint="eastAsia"/>
        </w:rPr>
      </w:pPr>
      <w:r>
        <w:separator/>
      </w:r>
    </w:p>
  </w:footnote>
  <w:footnote w:type="continuationSeparator" w:id="0">
    <w:p w14:paraId="2E3309F2" w14:textId="77777777" w:rsidR="00140FF3" w:rsidRDefault="00140FF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D84B" w14:textId="77777777" w:rsidR="00941CEE" w:rsidRDefault="00941CE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706820">
    <w:abstractNumId w:val="8"/>
  </w:num>
  <w:num w:numId="2" w16cid:durableId="1298073771">
    <w:abstractNumId w:val="6"/>
  </w:num>
  <w:num w:numId="3" w16cid:durableId="281961507">
    <w:abstractNumId w:val="5"/>
  </w:num>
  <w:num w:numId="4" w16cid:durableId="197164566">
    <w:abstractNumId w:val="4"/>
  </w:num>
  <w:num w:numId="5" w16cid:durableId="367072978">
    <w:abstractNumId w:val="7"/>
  </w:num>
  <w:num w:numId="6" w16cid:durableId="2051414951">
    <w:abstractNumId w:val="3"/>
  </w:num>
  <w:num w:numId="7" w16cid:durableId="1308970463">
    <w:abstractNumId w:val="2"/>
  </w:num>
  <w:num w:numId="8" w16cid:durableId="1760522462">
    <w:abstractNumId w:val="1"/>
  </w:num>
  <w:num w:numId="9" w16cid:durableId="108530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8C8"/>
    <w:rsid w:val="00140FF3"/>
    <w:rsid w:val="0015074B"/>
    <w:rsid w:val="001A7E79"/>
    <w:rsid w:val="0029639D"/>
    <w:rsid w:val="002C15DB"/>
    <w:rsid w:val="00326F90"/>
    <w:rsid w:val="00346D6F"/>
    <w:rsid w:val="00384BEC"/>
    <w:rsid w:val="003F64B1"/>
    <w:rsid w:val="00453D85"/>
    <w:rsid w:val="004861BD"/>
    <w:rsid w:val="00623570"/>
    <w:rsid w:val="00672F83"/>
    <w:rsid w:val="008349CE"/>
    <w:rsid w:val="00882888"/>
    <w:rsid w:val="00891E11"/>
    <w:rsid w:val="00941CEE"/>
    <w:rsid w:val="00AA1D8D"/>
    <w:rsid w:val="00AB1501"/>
    <w:rsid w:val="00B47730"/>
    <w:rsid w:val="00B6079A"/>
    <w:rsid w:val="00BC0F66"/>
    <w:rsid w:val="00CB0664"/>
    <w:rsid w:val="00E83B28"/>
    <w:rsid w:val="00EE3932"/>
    <w:rsid w:val="00F31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F68D3"/>
  <w14:defaultImageDpi w14:val="300"/>
  <w15:docId w15:val="{ED32DFB2-F959-46D2-B48D-F465EB01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15</cp:revision>
  <dcterms:created xsi:type="dcterms:W3CDTF">2013-12-23T23:15:00Z</dcterms:created>
  <dcterms:modified xsi:type="dcterms:W3CDTF">2026-09-06T09:40:00Z</dcterms:modified>
  <cp:category/>
</cp:coreProperties>
</file>