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120"/>
        <w:ind w:hanging="0"/>
        <w:jc w:val="start"/>
        <w:rPr/>
      </w:pPr>
      <w:r>
        <w:rPr>
          <w:rFonts w:ascii="Times New Roman" w:hAnsi="Times New Roman"/>
          <w:b/>
          <w:sz w:val="28"/>
        </w:rPr>
        <w:t>1.3. Пять атрибутов качества</w:t>
      </w:r>
    </w:p>
    <w:p>
      <w:pPr>
        <w:pStyle w:val="Normal"/>
        <w:bidi w:val="0"/>
        <w:spacing w:before="0" w:after="120"/>
        <w:ind w:firstLine="560"/>
        <w:jc w:val="both"/>
        <w:rPr/>
      </w:pPr>
      <w:r>
        <w:rPr>
          <w:rFonts w:ascii="Times New Roman" w:hAnsi="Times New Roman"/>
          <w:b w:val="false"/>
          <w:sz w:val="28"/>
        </w:rPr>
        <w:t>План курса выделяет пять атрибутов, которые сильнее всего влияют на архитектурные решения. Их определения ниже совпадают с формулировками, которые используются в заданиях текущего контроля.</w:t>
      </w:r>
    </w:p>
    <w:tbl>
      <w:tblPr>
        <w:tblW w:w="90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520"/>
        <w:gridCol w:w="3374"/>
        <w:gridCol w:w="3178"/>
      </w:tblGrid>
      <w:tr>
        <w:trPr/>
        <w:tc>
          <w:tcPr>
            <w:tcW w:w="25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Атрибут</w:t>
            </w:r>
          </w:p>
        </w:tc>
        <w:tc>
          <w:tcPr>
            <w:tcW w:w="33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Определение</w:t>
            </w:r>
          </w:p>
        </w:tc>
        <w:tc>
          <w:tcPr>
            <w:tcW w:w="317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Как измеряют</w:t>
            </w:r>
          </w:p>
        </w:tc>
      </w:tr>
      <w:tr>
        <w:trPr/>
        <w:tc>
          <w:tcPr>
            <w:tcW w:w="25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Производительность</w:t>
            </w:r>
          </w:p>
        </w:tc>
        <w:tc>
          <w:tcPr>
            <w:tcW w:w="33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Скорость обработки запросов и время отклика системы</w:t>
            </w:r>
          </w:p>
        </w:tc>
        <w:tc>
          <w:tcPr>
            <w:tcW w:w="317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Время отклика (перцентиль), число запросов в секунду</w:t>
            </w:r>
          </w:p>
        </w:tc>
      </w:tr>
      <w:tr>
        <w:trPr/>
        <w:tc>
          <w:tcPr>
            <w:tcW w:w="25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Масштабируемость</w:t>
            </w:r>
          </w:p>
        </w:tc>
        <w:tc>
          <w:tcPr>
            <w:tcW w:w="33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Способность системы обслуживать растущую нагрузку за счёт наращивания ресурсов</w:t>
            </w:r>
          </w:p>
        </w:tc>
        <w:tc>
          <w:tcPr>
            <w:tcW w:w="317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Как меняется время отклика при росте нагрузки и добавлении ресурсов</w:t>
            </w:r>
          </w:p>
        </w:tc>
      </w:tr>
      <w:tr>
        <w:trPr/>
        <w:tc>
          <w:tcPr>
            <w:tcW w:w="25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Надёжность</w:t>
            </w:r>
          </w:p>
        </w:tc>
        <w:tc>
          <w:tcPr>
            <w:tcW w:w="33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Способность сохранять корректную работу и восстанавливаться при отказах</w:t>
            </w:r>
          </w:p>
        </w:tc>
        <w:tc>
          <w:tcPr>
            <w:tcW w:w="317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Среднее время между отказами (MTBF), среднее время восстановления (MTTR), доля ошибочных ответов</w:t>
            </w:r>
          </w:p>
        </w:tc>
      </w:tr>
      <w:tr>
        <w:trPr/>
        <w:tc>
          <w:tcPr>
            <w:tcW w:w="25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Доступность</w:t>
            </w:r>
          </w:p>
        </w:tc>
        <w:tc>
          <w:tcPr>
            <w:tcW w:w="33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Доля времени готовности системы к обслуживанию запросов</w:t>
            </w:r>
          </w:p>
        </w:tc>
        <w:tc>
          <w:tcPr>
            <w:tcW w:w="317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Процент времени работы за период</w:t>
            </w:r>
          </w:p>
        </w:tc>
      </w:tr>
      <w:tr>
        <w:trPr/>
        <w:tc>
          <w:tcPr>
            <w:tcW w:w="25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Сопровождаемость</w:t>
            </w:r>
          </w:p>
        </w:tc>
        <w:tc>
          <w:tcPr>
            <w:tcW w:w="33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Лёгкость внесения изменений и поддержки системы в течение жизненного цикла</w:t>
            </w:r>
          </w:p>
        </w:tc>
        <w:tc>
          <w:tcPr>
            <w:tcW w:w="317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Время и объём типового изменения, покрытие тестами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spacing w:before="0" w:after="120"/>
        <w:ind w:hanging="0"/>
        <w:jc w:val="start"/>
        <w:rPr/>
      </w:pPr>
      <w:r>
        <w:rPr>
          <w:rFonts w:ascii="Times New Roman" w:hAnsi="Times New Roman"/>
          <w:b/>
          <w:sz w:val="28"/>
        </w:rPr>
        <w:t>1.4. Производительность</w:t>
      </w:r>
    </w:p>
    <w:p>
      <w:pPr>
        <w:pStyle w:val="Normal"/>
        <w:bidi w:val="0"/>
        <w:spacing w:before="0" w:after="120"/>
        <w:ind w:firstLine="560"/>
        <w:jc w:val="both"/>
        <w:rPr/>
      </w:pPr>
      <w:r>
        <w:rPr>
          <w:rFonts w:ascii="Times New Roman" w:hAnsi="Times New Roman"/>
          <w:b w:val="false"/>
          <w:sz w:val="28"/>
        </w:rPr>
        <w:t>Производительность измеряют двумя величинами. Время отклика (latency) — сколько проходит от запроса пользователя до ответа системы. Пропускная способность (throughput) — сколько запросов система обрабатывает за единицу времени. Первая важна пользователю, вторая — тому, кто рассчитывает мощности.</w:t>
      </w:r>
    </w:p>
    <w:p>
      <w:pPr>
        <w:pStyle w:val="Normal"/>
        <w:bidi w:val="0"/>
        <w:spacing w:before="0" w:after="120"/>
        <w:ind w:firstLine="560"/>
        <w:jc w:val="both"/>
        <w:rPr/>
      </w:pPr>
      <w:r>
        <w:rPr>
          <w:rFonts w:ascii="Times New Roman" w:hAnsi="Times New Roman"/>
          <w:b w:val="false"/>
          <w:sz w:val="28"/>
        </w:rPr>
        <w:t>Время отклика нельзя описывать средним значением. Если девятнадцать запросов из двадцати выполняются за 0,2 секунды, а двадцатый — за 10 секунд, среднее составит около 0,7 секунды: по нему система выглядит быстрой, хотя каждый двадцатый пользователь ждёт десять секунд. Поэтому требование записывают через перцентиль: «p95 ≤ 2 с» означает, что 95% запросов выполняются быстрее двух секунд. Этот подход описан, в частности, в книге инженеров Google «Site Reliability Engineering» (2016).</w:t>
      </w:r>
    </w:p>
    <w:p>
      <w:pPr>
        <w:pStyle w:val="Normal"/>
        <w:bidi w:val="0"/>
        <w:spacing w:before="120" w:after="160"/>
        <w:ind w:hanging="0" w:start="567"/>
        <w:jc w:val="both"/>
        <w:rPr/>
      </w:pPr>
      <w:r>
        <w:rPr>
          <w:rFonts w:ascii="Times New Roman" w:hAnsi="Times New Roman"/>
          <w:b w:val="false"/>
          <w:i/>
          <w:sz w:val="0"/>
        </w:rPr>
        <w:t>Расчёт среднего в примере: (19 × 0,2 + 10) / 20 = 13,8 / 20 = 0,69 с.</w:t>
      </w:r>
    </w:p>
    <w:p>
      <w:pPr>
        <w:pStyle w:val="Normal"/>
        <w:bidi w:val="0"/>
        <w:spacing w:before="0" w:after="120"/>
        <w:ind w:firstLine="560"/>
        <w:jc w:val="both"/>
        <w:rPr/>
      </w:pPr>
      <w:r>
        <w:rPr>
          <w:rFonts w:ascii="Times New Roman" w:hAnsi="Times New Roman"/>
          <w:b w:val="false"/>
          <w:sz w:val="28"/>
        </w:rPr>
        <w:t>Типовые архитектурные решения для производительности: кэширование часто запрашиваемых и редко меняющихся данных, индексы в базе данных, вынос долгих операций в асинхронную обработку, уменьшение объёма передаваемых данных. Для приложения КБЖУ очевидный кандидат на кэш — меню дня: оно меняется один раз в сутки, а читается сотни раз в минуту.</w:t>
      </w:r>
    </w:p>
    <w:p>
      <w:pPr>
        <w:pStyle w:val="Normal"/>
        <w:bidi w:val="0"/>
        <w:spacing w:before="0" w:after="120"/>
        <w:ind w:hanging="0"/>
        <w:jc w:val="start"/>
        <w:rPr/>
      </w:pPr>
      <w:r>
        <w:rPr>
          <w:rFonts w:ascii="Times New Roman" w:hAnsi="Times New Roman"/>
          <w:b/>
          <w:sz w:val="28"/>
        </w:rPr>
        <w:t>1.5. Масштабируемость</w:t>
      </w:r>
    </w:p>
    <w:p>
      <w:pPr>
        <w:pStyle w:val="Normal"/>
        <w:bidi w:val="0"/>
        <w:spacing w:before="0" w:after="120"/>
        <w:ind w:firstLine="560"/>
        <w:jc w:val="both"/>
        <w:rPr/>
      </w:pPr>
      <w:r>
        <w:rPr>
          <w:rFonts w:ascii="Times New Roman" w:hAnsi="Times New Roman"/>
          <w:b w:val="false"/>
          <w:sz w:val="28"/>
        </w:rPr>
        <w:t>Масштабируемость — это не скорость сама по себе, а то, как система ведёт себя при росте нагрузки. Есть два базовых пути. Вертикальное масштабирование — поставить более мощный сервер: больше процессоров, памяти, быстрее диск. Оно просто, но упирается в предел одной машины и в её цену. Горизонтальное масштабирование — добавить ещё несколько однотипных экземпляров сервиса и распределять между ними запросы через балансировщик. Оно позволяет расти дальше, но требует, чтобы сервис не хранил состояние конкретного пользователя у себя, и усложняет работу с данными.</w:t>
      </w:r>
    </w:p>
    <w:p>
      <w:pPr>
        <w:pStyle w:val="Normal"/>
        <w:bidi w:val="0"/>
        <w:spacing w:before="0" w:after="120"/>
        <w:ind w:firstLine="560"/>
        <w:jc w:val="both"/>
        <w:rPr>
          <w:rFonts w:ascii="Times New Roman" w:hAnsi="Times New Roman"/>
          <w:b w:val="false"/>
          <w:sz w:val="28"/>
        </w:rPr>
      </w:pPr>
      <w:r>
        <w:rPr>
          <w:rFonts w:ascii="Times New Roman" w:hAnsi="Times New Roman"/>
          <w:b w:val="false"/>
          <w:sz w:val="28"/>
        </w:rPr>
      </w:r>
    </w:p>
    <w:p>
      <w:pPr>
        <w:pStyle w:val="Normal"/>
        <w:bidi w:val="0"/>
        <w:spacing w:before="0" w:after="120"/>
        <w:ind w:hanging="0"/>
        <w:jc w:val="start"/>
        <w:rPr/>
      </w:pPr>
      <w:r>
        <w:rPr>
          <w:rFonts w:ascii="Times New Roman" w:hAnsi="Times New Roman"/>
          <w:b/>
          <w:sz w:val="28"/>
        </w:rPr>
        <w:t>1.6. Надёжность</w:t>
      </w:r>
    </w:p>
    <w:p>
      <w:pPr>
        <w:pStyle w:val="Normal"/>
        <w:bidi w:val="0"/>
        <w:spacing w:before="0" w:after="120"/>
        <w:ind w:firstLine="560"/>
        <w:jc w:val="both"/>
        <w:rPr/>
      </w:pPr>
      <w:r>
        <w:rPr>
          <w:rFonts w:ascii="Times New Roman" w:hAnsi="Times New Roman"/>
          <w:b w:val="false"/>
          <w:sz w:val="28"/>
        </w:rPr>
        <w:t>Надёжность — способность системы работать корректно и восстанавливаться после отказов. Её меряют средним временем между отказами (MTBF, mean time between failures) и средним временем восстановления (MTTR, mean time to repair), а также долей запросов, завершившихся ошибкой.</w:t>
      </w:r>
    </w:p>
    <w:p>
      <w:pPr>
        <w:pStyle w:val="Normal"/>
        <w:bidi w:val="0"/>
        <w:spacing w:before="0" w:after="120"/>
        <w:ind w:firstLine="560"/>
        <w:jc w:val="both"/>
        <w:rPr/>
      </w:pPr>
      <w:r>
        <w:rPr>
          <w:rFonts w:ascii="Times New Roman" w:hAnsi="Times New Roman"/>
          <w:b w:val="false"/>
          <w:sz w:val="28"/>
        </w:rPr>
        <w:t>Типовые решения: проверка входных данных, транзакции при изменении связанных данных, повторные попытки при временных сбоях внешних сервисов, резервное копирование и — обязательно — проверенная процедура восстановления. Резервная копия, из которой ни разу не восстанавливались, не является мерой надёжности: неизвестно, можно ли из неё восстановиться.</w:t>
      </w:r>
    </w:p>
    <w:p>
      <w:pPr>
        <w:pStyle w:val="Normal"/>
        <w:bidi w:val="0"/>
        <w:spacing w:before="0" w:after="120"/>
        <w:ind w:hanging="0"/>
        <w:jc w:val="start"/>
        <w:rPr/>
      </w:pPr>
      <w:r>
        <w:rPr>
          <w:rFonts w:ascii="Times New Roman" w:hAnsi="Times New Roman"/>
          <w:b/>
          <w:sz w:val="28"/>
        </w:rPr>
        <w:t>1.7. Доступность</w:t>
      </w:r>
    </w:p>
    <w:p>
      <w:pPr>
        <w:pStyle w:val="Normal"/>
        <w:bidi w:val="0"/>
        <w:spacing w:before="0" w:after="120"/>
        <w:ind w:firstLine="560"/>
        <w:jc w:val="both"/>
        <w:rPr/>
      </w:pPr>
      <w:r>
        <w:rPr>
          <w:rFonts w:ascii="Times New Roman" w:hAnsi="Times New Roman"/>
          <w:b w:val="false"/>
          <w:sz w:val="28"/>
        </w:rPr>
        <w:t>Доступность — доля времени, в течение которого система готова обслужить запрос. Её принято выражать в процентах, и полезно понимать, сколько простоя стоит за каждой «девяткой».</w:t>
      </w:r>
    </w:p>
    <w:tbl>
      <w:tblPr>
        <w:tblW w:w="90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040"/>
        <w:gridCol w:w="3515"/>
        <w:gridCol w:w="3516"/>
      </w:tblGrid>
      <w:tr>
        <w:trPr/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Доступность</w:t>
            </w:r>
          </w:p>
        </w:tc>
        <w:tc>
          <w:tcPr>
            <w:tcW w:w="35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Допустимый простой в год</w:t>
            </w:r>
          </w:p>
        </w:tc>
        <w:tc>
          <w:tcPr>
            <w:tcW w:w="35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Допустимый простой в месяц (30 дней)</w:t>
            </w:r>
          </w:p>
        </w:tc>
      </w:tr>
      <w:tr>
        <w:trPr/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99%</w:t>
            </w:r>
          </w:p>
        </w:tc>
        <w:tc>
          <w:tcPr>
            <w:tcW w:w="35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87,6 ч ≈ 3,65 суток</w:t>
            </w:r>
          </w:p>
        </w:tc>
        <w:tc>
          <w:tcPr>
            <w:tcW w:w="35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7,2 ч</w:t>
            </w:r>
          </w:p>
        </w:tc>
      </w:tr>
      <w:tr>
        <w:trPr/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99,5%</w:t>
            </w:r>
          </w:p>
        </w:tc>
        <w:tc>
          <w:tcPr>
            <w:tcW w:w="35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43,8 ч</w:t>
            </w:r>
          </w:p>
        </w:tc>
        <w:tc>
          <w:tcPr>
            <w:tcW w:w="35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3,6 ч</w:t>
            </w:r>
          </w:p>
        </w:tc>
      </w:tr>
      <w:tr>
        <w:trPr/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99,9%</w:t>
            </w:r>
          </w:p>
        </w:tc>
        <w:tc>
          <w:tcPr>
            <w:tcW w:w="35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8,76 ч</w:t>
            </w:r>
          </w:p>
        </w:tc>
        <w:tc>
          <w:tcPr>
            <w:tcW w:w="35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43,2 мин</w:t>
            </w:r>
          </w:p>
        </w:tc>
      </w:tr>
      <w:tr>
        <w:trPr/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99,99%</w:t>
            </w:r>
          </w:p>
        </w:tc>
        <w:tc>
          <w:tcPr>
            <w:tcW w:w="35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52,6 мин</w:t>
            </w:r>
          </w:p>
        </w:tc>
        <w:tc>
          <w:tcPr>
            <w:tcW w:w="35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4,3 мин</w:t>
            </w:r>
          </w:p>
        </w:tc>
      </w:tr>
      <w:tr>
        <w:trPr/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99,999%</w:t>
            </w:r>
          </w:p>
        </w:tc>
        <w:tc>
          <w:tcPr>
            <w:tcW w:w="35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5,26 мин</w:t>
            </w:r>
          </w:p>
        </w:tc>
        <w:tc>
          <w:tcPr>
            <w:tcW w:w="35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26 с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spacing w:before="120" w:after="160"/>
        <w:ind w:hanging="0" w:start="567"/>
        <w:jc w:val="both"/>
        <w:rPr/>
      </w:pPr>
      <w:r>
        <w:rPr>
          <w:rFonts w:ascii="Times New Roman" w:hAnsi="Times New Roman"/>
          <w:b w:val="false"/>
          <w:i/>
          <w:sz w:val="0"/>
        </w:rPr>
        <w:t>Расчёт: в году 365 × 24 = 8760 ч, в месяце 30 × 24 = 720 ч. Простой = период × (1 − доступность). Например, 8760 × 0,001 = 8,76 ч; 720 × 0,001 × 60 = 43,2 мин.</w:t>
      </w:r>
    </w:p>
    <w:p>
      <w:pPr>
        <w:pStyle w:val="Normal"/>
        <w:bidi w:val="0"/>
        <w:spacing w:before="0" w:after="120"/>
        <w:ind w:firstLine="560"/>
        <w:jc w:val="both"/>
        <w:rPr/>
      </w:pPr>
      <w:r>
        <w:rPr>
          <w:rFonts w:ascii="Times New Roman" w:hAnsi="Times New Roman"/>
          <w:b w:val="false"/>
          <w:sz w:val="28"/>
        </w:rPr>
        <w:t>Доступность связана с надёжностью формулой A = MTBF / (MTBF + MTTR). Из неё видно, что доступность можно повысить двумя способами: реже ломаться или быстрее восстанавливаться. Для учебного проекта второй путь почти всегда дешевле: мониторинг и автоматический перезапуск обходятся дешевле, чем резервный сервер.</w:t>
      </w:r>
    </w:p>
    <w:p>
      <w:pPr>
        <w:pStyle w:val="Normal"/>
        <w:bidi w:val="0"/>
        <w:spacing w:before="0" w:after="120"/>
        <w:ind w:firstLine="560"/>
        <w:jc w:val="both"/>
        <w:rPr/>
      </w:pPr>
      <w:r>
        <w:rPr>
          <w:rFonts w:ascii="Times New Roman" w:hAnsi="Times New Roman"/>
          <w:b w:val="false"/>
          <w:sz w:val="28"/>
        </w:rPr>
        <w:t>Если система зависит от нескольких компонентов, каждый из которых должен работать, их доступности перемножаются. Сервис с доступностью 99,9%, который обращается к базе данных с доступностью 99,9%, в целом будет доступен примерно 99,8% времени: 0,999 × 0,999 = 0,998. Каждая новая обязательная зависимость снижает доступность системы.</w:t>
      </w:r>
    </w:p>
    <w:p>
      <w:pPr>
        <w:pStyle w:val="Normal"/>
        <w:bidi w:val="0"/>
        <w:spacing w:before="0" w:after="120"/>
        <w:ind w:firstLine="560"/>
        <w:jc w:val="both"/>
        <w:rPr/>
      </w:pPr>
      <w:r>
        <w:rPr>
          <w:rFonts w:ascii="Times New Roman" w:hAnsi="Times New Roman"/>
          <w:b w:val="false"/>
          <w:sz w:val="28"/>
        </w:rPr>
        <w:t>Надёжность и доступность часто путают. Система может быть доступна, но работать неверно. И наоборот: система может считать всё верно, но каждую ночь уходить на обслуживание. В модели ISO/IEC 25010 доступность входит в надёжность как её подхарактеристика. План курса выделяет их отдельно, чтобы требования к ним записывались отдельно.</w:t>
      </w:r>
    </w:p>
    <w:p>
      <w:pPr>
        <w:pStyle w:val="Normal"/>
        <w:bidi w:val="0"/>
        <w:spacing w:before="0" w:after="120"/>
        <w:ind w:hanging="0"/>
        <w:jc w:val="start"/>
        <w:rPr/>
      </w:pPr>
      <w:r>
        <w:rPr>
          <w:rFonts w:ascii="Times New Roman" w:hAnsi="Times New Roman"/>
          <w:b/>
          <w:sz w:val="28"/>
        </w:rPr>
        <w:t>1.8. Сопровождаемость</w:t>
      </w:r>
    </w:p>
    <w:p>
      <w:pPr>
        <w:pStyle w:val="Normal"/>
        <w:bidi w:val="0"/>
        <w:spacing w:before="0" w:after="120"/>
        <w:ind w:firstLine="560"/>
        <w:jc w:val="both"/>
        <w:rPr/>
      </w:pPr>
      <w:r>
        <w:rPr>
          <w:rFonts w:ascii="Times New Roman" w:hAnsi="Times New Roman"/>
          <w:b w:val="false"/>
          <w:sz w:val="28"/>
        </w:rPr>
        <w:t>Сопровождаемость — насколько дёшево и безопасно вносить изменения: исправить ошибку, добавить блюдо с новым типом данных, подключить ещё одну столовую. Её оценивают временем на типовое изменение, числом модулей, которые оно затрагивает, и тем, есть ли автоматические тесты, которые покажут, что изменение ничего не сломало.</w:t>
      </w:r>
    </w:p>
    <w:p>
      <w:pPr>
        <w:pStyle w:val="Normal"/>
        <w:bidi w:val="0"/>
        <w:spacing w:before="0" w:after="120"/>
        <w:ind w:firstLine="560"/>
        <w:jc w:val="both"/>
        <w:rPr>
          <w:rFonts w:ascii="Times New Roman" w:hAnsi="Times New Roman"/>
          <w:b w:val="false"/>
          <w:sz w:val="28"/>
        </w:rPr>
      </w:pPr>
      <w:r>
        <w:rPr>
          <w:rFonts w:ascii="Times New Roman" w:hAnsi="Times New Roman"/>
          <w:b/>
          <w:bCs/>
          <w:sz w:val="28"/>
        </w:rPr>
        <w:t>Решения, повышающие сопровождаемость: разбиение системы на модули с понятными границами, слабая связанность между ними, автоматические тесты, записанные архитектурные решения. Для учебных команд этот атрибут часто главный,</w:t>
      </w:r>
      <w:r>
        <w:rPr>
          <w:rFonts w:ascii="Times New Roman" w:hAnsi="Times New Roman"/>
          <w:b w:val="false"/>
          <w:sz w:val="28"/>
        </w:rPr>
        <w:t xml:space="preserve"> хотя о нём вспоминают последним: состав команды меняется, а проект переходит из семестра в семестр.</w:t>
      </w:r>
    </w:p>
    <w:p>
      <w:pPr>
        <w:pStyle w:val="Normal"/>
        <w:bidi w:val="0"/>
        <w:spacing w:before="0" w:after="120"/>
        <w:ind w:firstLine="560"/>
        <w:jc w:val="both"/>
        <w:rPr>
          <w:rFonts w:ascii="Times New Roman" w:hAnsi="Times New Roman"/>
          <w:b w:val="false"/>
          <w:sz w:val="28"/>
        </w:rPr>
      </w:pPr>
      <w:r>
        <w:rPr>
          <w:rFonts w:ascii="Times New Roman" w:hAnsi="Times New Roman"/>
          <w:b w:val="false"/>
          <w:sz w:val="28"/>
        </w:rPr>
        <w:t xml:space="preserve">Фрмально подхарактеристики сопровождаемости заданы в ISO/IEC 25010, а меры для них — в ISO/IEC 25023. На практике смотрят метрики кода (сложность, дублирование, связанность, покрытие тестами) и метрики процесса (время от коммита до продакшена, доля изменений, вызвавших сбой). Ни одна из них по отдельности сопровождаемость не определяет. Для учебных команд самый наглядный вариант — «сценарный» способ: заранее описать 2–3 типовых изменения и замерять на них время и число затронутых модулей. </w:t>
      </w:r>
    </w:p>
    <w:p>
      <w:pPr>
        <w:pStyle w:val="Normal"/>
        <w:bidi w:val="0"/>
        <w:spacing w:before="0" w:after="120"/>
        <w:ind w:hanging="0" w:start="0"/>
        <w:jc w:val="both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8"/>
          <w:szCs w:val="24"/>
        </w:rPr>
      </w:r>
    </w:p>
    <w:p>
      <w:pPr>
        <w:pStyle w:val="Heading2"/>
        <w:spacing w:before="0" w:after="120"/>
        <w:jc w:val="both"/>
        <w:rPr>
          <w:rFonts w:ascii="Times New Roman" w:hAnsi="Times New Roman"/>
          <w:b w:val="false"/>
          <w:sz w:val="28"/>
          <w:szCs w:val="24"/>
        </w:rPr>
      </w:pPr>
      <w:r>
        <w:rPr>
          <w:rFonts w:ascii="Times New Roman" w:hAnsi="Times New Roman"/>
          <w:b w:val="false"/>
          <w:sz w:val="28"/>
          <w:szCs w:val="24"/>
        </w:rPr>
        <w:t xml:space="preserve">DORA-метрики </w:t>
      </w:r>
      <w:r>
        <w:rPr>
          <w:rFonts w:ascii="Times New Roman" w:hAnsi="Times New Roman"/>
          <w:b w:val="false"/>
          <w:sz w:val="28"/>
          <w:szCs w:val="24"/>
        </w:rPr>
        <w:t>(можно пропустить на практике)</w:t>
      </w:r>
    </w:p>
    <w:p>
      <w:pPr>
        <w:pStyle w:val="BodyText"/>
        <w:spacing w:before="0" w:after="1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Чтобы оценить, насколько быстро и надёжно команда доставляет изменения пользователям, часто используют DORA-метрики. Важно понимать, что они измеряют не сопровождаемость кода напрямую, а результат всего процесса поставки. На них влияют архитектура, тесты, CI/CD и организация работы. Но плохая сопровождаемость в них проявляется: если любое изменение задевает много модулей и не покрыто тестами, это видно по долгому пути до продакшена и частым сбоям после релиза.</w:t>
      </w:r>
    </w:p>
    <w:p>
      <w:pPr>
        <w:pStyle w:val="Heading3"/>
        <w:spacing w:before="0" w:after="120"/>
        <w:jc w:val="both"/>
        <w:rPr>
          <w:rFonts w:ascii="Times New Roman" w:hAnsi="Times New Roman"/>
          <w:b w:val="false"/>
          <w:szCs w:val="24"/>
        </w:rPr>
      </w:pPr>
      <w:r>
        <w:rPr>
          <w:rFonts w:ascii="Times New Roman" w:hAnsi="Times New Roman"/>
          <w:b w:val="false"/>
          <w:szCs w:val="24"/>
        </w:rPr>
        <w:t>Откуда они взялись</w:t>
      </w:r>
    </w:p>
    <w:p>
      <w:pPr>
        <w:pStyle w:val="BodyText"/>
        <w:spacing w:before="0" w:after="1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DORA (DevOps Research and Assessment) — исследовательская программа, выросшая из ежегодных отчётов State of DevOps. Эти отчёты выходят с 2013 года, первые годы — совместно с компанией Puppet. В 2015–2016 годах Николь Форсгрен, Джез Хамбл и Джин Ким основали компанию DORA. В конце 2018 года её купил Google Cloud, где исследование продолжается до сих пор. Выводы первых лет обобщены в книге </w:t>
      </w:r>
      <w:r>
        <w:rPr>
          <w:rStyle w:val="Emphasis"/>
          <w:rFonts w:ascii="Times New Roman" w:hAnsi="Times New Roman"/>
          <w:sz w:val="28"/>
        </w:rPr>
        <w:t>Accelerate</w:t>
      </w:r>
      <w:r>
        <w:rPr>
          <w:rFonts w:ascii="Times New Roman" w:hAnsi="Times New Roman"/>
          <w:sz w:val="28"/>
        </w:rPr>
        <w:t xml:space="preserve"> (Форсгрен, Хамбл, Ким, 2018).</w:t>
      </w:r>
    </w:p>
    <w:p>
      <w:pPr>
        <w:pStyle w:val="BodyText"/>
        <w:spacing w:before="0" w:after="1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Данные DORA — это ежегодный опрос специалистов. Метрики и пороги построены на самоотчётах респондентов, а не на логах их систем.</w:t>
      </w:r>
    </w:p>
    <w:p>
      <w:pPr>
        <w:pStyle w:val="Heading3"/>
        <w:spacing w:before="0" w:after="120"/>
        <w:jc w:val="both"/>
        <w:rPr>
          <w:rFonts w:ascii="Times New Roman" w:hAnsi="Times New Roman"/>
          <w:b w:val="false"/>
          <w:szCs w:val="24"/>
        </w:rPr>
      </w:pPr>
      <w:r>
        <w:rPr>
          <w:rFonts w:ascii="Times New Roman" w:hAnsi="Times New Roman"/>
          <w:b w:val="false"/>
          <w:szCs w:val="24"/>
        </w:rPr>
        <w:t>Метрики</w:t>
      </w:r>
    </w:p>
    <w:p>
      <w:pPr>
        <w:pStyle w:val="BodyText"/>
        <w:spacing w:before="0" w:after="1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Классический набор называют «четыре ключа» (four keys):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rFonts w:ascii="Times New Roman" w:hAnsi="Times New Roman"/>
          <w:sz w:val="28"/>
        </w:rPr>
      </w:pPr>
      <w:r>
        <w:rPr>
          <w:rStyle w:val="Strong"/>
          <w:rFonts w:ascii="Times New Roman" w:hAnsi="Times New Roman"/>
          <w:sz w:val="28"/>
        </w:rPr>
        <w:t>Deployment frequency</w:t>
      </w:r>
      <w:r>
        <w:rPr>
          <w:rFonts w:ascii="Times New Roman" w:hAnsi="Times New Roman"/>
          <w:sz w:val="28"/>
        </w:rPr>
        <w:t xml:space="preserve"> (частота развёртываний) — как часто изменения выкладываются в продакшен.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rFonts w:ascii="Times New Roman" w:hAnsi="Times New Roman"/>
          <w:sz w:val="28"/>
        </w:rPr>
      </w:pPr>
      <w:r>
        <w:rPr>
          <w:rStyle w:val="Strong"/>
          <w:rFonts w:ascii="Times New Roman" w:hAnsi="Times New Roman"/>
          <w:sz w:val="28"/>
        </w:rPr>
        <w:t>Change lead time</w:t>
      </w:r>
      <w:r>
        <w:rPr>
          <w:rFonts w:ascii="Times New Roman" w:hAnsi="Times New Roman"/>
          <w:sz w:val="28"/>
        </w:rPr>
        <w:t xml:space="preserve"> (время поставки изменения) — время от коммита до успешного развёртывания в продакшене.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rFonts w:ascii="Times New Roman" w:hAnsi="Times New Roman"/>
          <w:sz w:val="28"/>
        </w:rPr>
      </w:pPr>
      <w:r>
        <w:rPr>
          <w:rStyle w:val="Strong"/>
          <w:rFonts w:ascii="Times New Roman" w:hAnsi="Times New Roman"/>
          <w:sz w:val="28"/>
        </w:rPr>
        <w:t>Change fail rate</w:t>
      </w:r>
      <w:r>
        <w:rPr>
          <w:rFonts w:ascii="Times New Roman" w:hAnsi="Times New Roman"/>
          <w:sz w:val="28"/>
        </w:rPr>
        <w:t xml:space="preserve"> (доля неудачных изменений) — доля развёртываний, после которых в продакшене возник сбой и понадобилось немедленное вмешательство (откат или хотфикс).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spacing w:before="0" w:after="0"/>
        <w:ind w:hanging="283" w:start="141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Если изменение остановлено по пути в продакшен (например, упали тесты), это не сбой. Наоборот, это признак того, что конвейер работает.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rFonts w:ascii="Times New Roman" w:hAnsi="Times New Roman"/>
          <w:sz w:val="28"/>
        </w:rPr>
      </w:pPr>
      <w:r>
        <w:rPr>
          <w:rStyle w:val="Strong"/>
          <w:rFonts w:ascii="Times New Roman" w:hAnsi="Times New Roman"/>
          <w:sz w:val="28"/>
        </w:rPr>
        <w:t>Failed deployment recovery time</w:t>
      </w:r>
      <w:r>
        <w:rPr>
          <w:rFonts w:ascii="Times New Roman" w:hAnsi="Times New Roman"/>
          <w:sz w:val="28"/>
        </w:rPr>
        <w:t xml:space="preserve"> (время восстановления после неудачного развёртывания).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spacing w:before="0" w:after="0"/>
        <w:ind w:hanging="283" w:start="141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До 2023 года эта метрика называлась MTTR / time to restore service.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ind w:hanging="283" w:start="141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Её переопределили, чтобы не смешивать сбои из-за изменений со сбоями по внешним причинам, например отказом дата-центра. </w:t>
      </w:r>
    </w:p>
    <w:p>
      <w:pPr>
        <w:pStyle w:val="BodyText"/>
        <w:spacing w:before="0" w:after="1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 2024 году добавили пятую метрику: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jc w:val="both"/>
        <w:rPr>
          <w:rFonts w:ascii="Times New Roman" w:hAnsi="Times New Roman"/>
          <w:sz w:val="28"/>
        </w:rPr>
      </w:pPr>
      <w:r>
        <w:rPr>
          <w:rStyle w:val="Strong"/>
          <w:rFonts w:ascii="Times New Roman" w:hAnsi="Times New Roman"/>
          <w:sz w:val="28"/>
        </w:rPr>
        <w:t>Deployment rework rate</w:t>
      </w:r>
      <w:r>
        <w:rPr>
          <w:rFonts w:ascii="Times New Roman" w:hAnsi="Times New Roman"/>
          <w:sz w:val="28"/>
        </w:rPr>
        <w:t xml:space="preserve"> (доля внеплановых развёртываний) — доля деплоев, которые не планировались и понадобились, чтобы исправить инцидент в продакшене. </w:t>
      </w:r>
    </w:p>
    <w:p>
      <w:pPr>
        <w:pStyle w:val="Heading3"/>
        <w:spacing w:before="0" w:after="120"/>
        <w:jc w:val="both"/>
        <w:rPr>
          <w:rFonts w:ascii="Times New Roman" w:hAnsi="Times New Roman"/>
          <w:b w:val="false"/>
          <w:szCs w:val="24"/>
        </w:rPr>
      </w:pPr>
      <w:r>
        <w:rPr>
          <w:rFonts w:ascii="Times New Roman" w:hAnsi="Times New Roman"/>
          <w:b w:val="false"/>
          <w:szCs w:val="24"/>
        </w:rPr>
        <w:t>Как метрики группируются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rFonts w:ascii="Times New Roman" w:hAnsi="Times New Roman"/>
          <w:sz w:val="28"/>
        </w:rPr>
      </w:pPr>
      <w:r>
        <w:rPr>
          <w:rStyle w:val="Strong"/>
          <w:rFonts w:ascii="Times New Roman" w:hAnsi="Times New Roman"/>
          <w:sz w:val="28"/>
        </w:rPr>
        <w:t>Классическая модель (с 2015 года)</w:t>
      </w:r>
      <w:r>
        <w:rPr>
          <w:rFonts w:ascii="Times New Roman" w:hAnsi="Times New Roman"/>
          <w:sz w:val="28"/>
        </w:rPr>
        <w:t xml:space="preserve"> — две пары: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hanging="283" w:start="141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скорость: частота развёртываний и время поставки;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hanging="283" w:start="141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стабильность: время восстановления и доля неудачных изменений.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rFonts w:ascii="Times New Roman" w:hAnsi="Times New Roman"/>
          <w:sz w:val="28"/>
        </w:rPr>
      </w:pPr>
      <w:r>
        <w:rPr>
          <w:rStyle w:val="Strong"/>
          <w:rFonts w:ascii="Times New Roman" w:hAnsi="Times New Roman"/>
          <w:sz w:val="28"/>
        </w:rPr>
        <w:t>Модель 2024 года:</w:t>
      </w:r>
      <w:r>
        <w:rPr>
          <w:rFonts w:ascii="Times New Roman" w:hAnsi="Times New Roman"/>
          <w:sz w:val="28"/>
        </w:rPr>
        <w:t xml:space="preserve">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hanging="283" w:start="141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пропускная способность: время поставки, частота развёртываний, время восстановления;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hanging="283" w:start="141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нестабильность: доля неудачных изменений и доля внеплановых развёртываний.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ind w:hanging="283" w:start="141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Время восстановления перенесли в группу скорости: оно тоже показывает, как быстро проходит изменение, только исправляющее. </w:t>
      </w:r>
    </w:p>
    <w:p>
      <w:pPr>
        <w:pStyle w:val="BodyText"/>
        <w:spacing w:before="0" w:after="120"/>
        <w:jc w:val="both"/>
        <w:rPr>
          <w:rFonts w:ascii="Times New Roman" w:hAnsi="Times New Roman"/>
          <w:sz w:val="28"/>
        </w:rPr>
      </w:pPr>
      <w:r>
        <w:rPr>
          <w:rStyle w:val="Strong"/>
          <w:rFonts w:ascii="Times New Roman" w:hAnsi="Times New Roman"/>
          <w:sz w:val="28"/>
        </w:rPr>
        <w:t>Главный вывод DORA:</w:t>
      </w:r>
      <w:r>
        <w:rPr>
          <w:rFonts w:ascii="Times New Roman" w:hAnsi="Times New Roman"/>
          <w:sz w:val="28"/>
        </w:rPr>
        <w:t xml:space="preserve"> скорость и стабильность не противоречат друг другу. У большинства команд они связаны: лучшие команды сильны по всем метрикам, слабые — слабы по всем.</w:t>
      </w:r>
    </w:p>
    <w:p>
      <w:pPr>
        <w:pStyle w:val="Heading3"/>
        <w:spacing w:before="0" w:after="120"/>
        <w:jc w:val="both"/>
        <w:rPr>
          <w:rFonts w:ascii="Times New Roman" w:hAnsi="Times New Roman"/>
          <w:b w:val="false"/>
          <w:szCs w:val="24"/>
        </w:rPr>
      </w:pPr>
      <w:r>
        <w:rPr>
          <w:rFonts w:ascii="Times New Roman" w:hAnsi="Times New Roman"/>
          <w:b w:val="false"/>
          <w:szCs w:val="24"/>
        </w:rPr>
        <w:t>Уровни производительности (отчёт 2024 года)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26"/>
        <w:gridCol w:w="1268"/>
        <w:gridCol w:w="2079"/>
        <w:gridCol w:w="1576"/>
        <w:gridCol w:w="1962"/>
        <w:gridCol w:w="1727"/>
      </w:tblGrid>
      <w:tr>
        <w:trPr>
          <w:tblHeader w:val="true"/>
        </w:trPr>
        <w:tc>
          <w:tcPr>
            <w:tcW w:w="1026" w:type="dxa"/>
            <w:tcBorders/>
            <w:vAlign w:val="center"/>
          </w:tcPr>
          <w:p>
            <w:pPr>
              <w:pStyle w:val="Style18"/>
              <w:rPr/>
            </w:pPr>
            <w:r>
              <w:rPr/>
              <w:t>Уровень</w:t>
            </w:r>
          </w:p>
        </w:tc>
        <w:tc>
          <w:tcPr>
            <w:tcW w:w="1268" w:type="dxa"/>
            <w:tcBorders/>
            <w:vAlign w:val="center"/>
          </w:tcPr>
          <w:p>
            <w:pPr>
              <w:pStyle w:val="Style18"/>
              <w:rPr/>
            </w:pPr>
            <w:r>
              <w:rPr/>
              <w:t>Время поставки</w:t>
            </w:r>
          </w:p>
        </w:tc>
        <w:tc>
          <w:tcPr>
            <w:tcW w:w="2079" w:type="dxa"/>
            <w:tcBorders/>
            <w:vAlign w:val="center"/>
          </w:tcPr>
          <w:p>
            <w:pPr>
              <w:pStyle w:val="Style18"/>
              <w:rPr/>
            </w:pPr>
            <w:r>
              <w:rPr/>
              <w:t>Частота развёртываний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Style18"/>
              <w:rPr/>
            </w:pPr>
            <w:r>
              <w:rPr/>
              <w:t>Доля неудачных изменений</w:t>
            </w:r>
          </w:p>
        </w:tc>
        <w:tc>
          <w:tcPr>
            <w:tcW w:w="1962" w:type="dxa"/>
            <w:tcBorders/>
            <w:vAlign w:val="center"/>
          </w:tcPr>
          <w:p>
            <w:pPr>
              <w:pStyle w:val="Style18"/>
              <w:rPr/>
            </w:pPr>
            <w:r>
              <w:rPr/>
              <w:t>Время восстановления</w:t>
            </w:r>
          </w:p>
        </w:tc>
        <w:tc>
          <w:tcPr>
            <w:tcW w:w="1727" w:type="dxa"/>
            <w:tcBorders/>
            <w:vAlign w:val="center"/>
          </w:tcPr>
          <w:p>
            <w:pPr>
              <w:pStyle w:val="Style18"/>
              <w:rPr/>
            </w:pPr>
            <w:r>
              <w:rPr/>
              <w:t>Доля респондентов</w:t>
            </w:r>
          </w:p>
        </w:tc>
      </w:tr>
      <w:tr>
        <w:trPr/>
        <w:tc>
          <w:tcPr>
            <w:tcW w:w="1026" w:type="dxa"/>
            <w:tcBorders/>
            <w:vAlign w:val="center"/>
          </w:tcPr>
          <w:p>
            <w:pPr>
              <w:pStyle w:val="Style17"/>
              <w:rPr/>
            </w:pPr>
            <w:r>
              <w:rPr/>
              <w:t>Elite</w:t>
            </w:r>
          </w:p>
        </w:tc>
        <w:tc>
          <w:tcPr>
            <w:tcW w:w="1268" w:type="dxa"/>
            <w:tcBorders/>
            <w:vAlign w:val="center"/>
          </w:tcPr>
          <w:p>
            <w:pPr>
              <w:pStyle w:val="Style17"/>
              <w:rPr/>
            </w:pPr>
            <w:r>
              <w:rPr/>
              <w:t>&lt; 1 дня</w:t>
            </w:r>
          </w:p>
        </w:tc>
        <w:tc>
          <w:tcPr>
            <w:tcW w:w="2079" w:type="dxa"/>
            <w:tcBorders/>
            <w:vAlign w:val="center"/>
          </w:tcPr>
          <w:p>
            <w:pPr>
              <w:pStyle w:val="Style17"/>
              <w:rPr/>
            </w:pPr>
            <w:r>
              <w:rPr/>
              <w:t>по запросу, несколько раз в день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Style17"/>
              <w:rPr/>
            </w:pPr>
            <w:r>
              <w:rPr/>
              <w:t>5%</w:t>
            </w:r>
          </w:p>
        </w:tc>
        <w:tc>
          <w:tcPr>
            <w:tcW w:w="1962" w:type="dxa"/>
            <w:tcBorders/>
            <w:vAlign w:val="center"/>
          </w:tcPr>
          <w:p>
            <w:pPr>
              <w:pStyle w:val="Style17"/>
              <w:rPr/>
            </w:pPr>
            <w:r>
              <w:rPr/>
              <w:t>&lt; 1 часа</w:t>
            </w:r>
          </w:p>
        </w:tc>
        <w:tc>
          <w:tcPr>
            <w:tcW w:w="1727" w:type="dxa"/>
            <w:tcBorders/>
            <w:vAlign w:val="center"/>
          </w:tcPr>
          <w:p>
            <w:pPr>
              <w:pStyle w:val="Style17"/>
              <w:rPr/>
            </w:pPr>
            <w:r>
              <w:rPr/>
              <w:t>19%</w:t>
            </w:r>
          </w:p>
        </w:tc>
      </w:tr>
      <w:tr>
        <w:trPr/>
        <w:tc>
          <w:tcPr>
            <w:tcW w:w="1026" w:type="dxa"/>
            <w:tcBorders/>
            <w:vAlign w:val="center"/>
          </w:tcPr>
          <w:p>
            <w:pPr>
              <w:pStyle w:val="Style17"/>
              <w:rPr/>
            </w:pPr>
            <w:r>
              <w:rPr/>
              <w:t>High</w:t>
            </w:r>
          </w:p>
        </w:tc>
        <w:tc>
          <w:tcPr>
            <w:tcW w:w="1268" w:type="dxa"/>
            <w:tcBorders/>
            <w:vAlign w:val="center"/>
          </w:tcPr>
          <w:p>
            <w:pPr>
              <w:pStyle w:val="Style17"/>
              <w:rPr/>
            </w:pPr>
            <w:r>
              <w:rPr/>
              <w:t>1 день – 1 неделя</w:t>
            </w:r>
          </w:p>
        </w:tc>
        <w:tc>
          <w:tcPr>
            <w:tcW w:w="2079" w:type="dxa"/>
            <w:tcBorders/>
            <w:vAlign w:val="center"/>
          </w:tcPr>
          <w:p>
            <w:pPr>
              <w:pStyle w:val="Style17"/>
              <w:rPr/>
            </w:pPr>
            <w:r>
              <w:rPr/>
              <w:t>от раза в день до раза в неделю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Style17"/>
              <w:rPr/>
            </w:pPr>
            <w:r>
              <w:rPr/>
              <w:t>20%</w:t>
            </w:r>
          </w:p>
        </w:tc>
        <w:tc>
          <w:tcPr>
            <w:tcW w:w="1962" w:type="dxa"/>
            <w:tcBorders/>
            <w:vAlign w:val="center"/>
          </w:tcPr>
          <w:p>
            <w:pPr>
              <w:pStyle w:val="Style17"/>
              <w:rPr/>
            </w:pPr>
            <w:r>
              <w:rPr/>
              <w:t>&lt; 1 дня</w:t>
            </w:r>
          </w:p>
        </w:tc>
        <w:tc>
          <w:tcPr>
            <w:tcW w:w="1727" w:type="dxa"/>
            <w:tcBorders/>
            <w:vAlign w:val="center"/>
          </w:tcPr>
          <w:p>
            <w:pPr>
              <w:pStyle w:val="Style17"/>
              <w:rPr/>
            </w:pPr>
            <w:r>
              <w:rPr/>
              <w:t>22%</w:t>
            </w:r>
          </w:p>
        </w:tc>
      </w:tr>
      <w:tr>
        <w:trPr/>
        <w:tc>
          <w:tcPr>
            <w:tcW w:w="1026" w:type="dxa"/>
            <w:tcBorders/>
            <w:vAlign w:val="center"/>
          </w:tcPr>
          <w:p>
            <w:pPr>
              <w:pStyle w:val="Style17"/>
              <w:rPr/>
            </w:pPr>
            <w:r>
              <w:rPr/>
              <w:t>Medium</w:t>
            </w:r>
          </w:p>
        </w:tc>
        <w:tc>
          <w:tcPr>
            <w:tcW w:w="1268" w:type="dxa"/>
            <w:tcBorders/>
            <w:vAlign w:val="center"/>
          </w:tcPr>
          <w:p>
            <w:pPr>
              <w:pStyle w:val="Style17"/>
              <w:rPr/>
            </w:pPr>
            <w:r>
              <w:rPr/>
              <w:t>1 неделя – 1 месяц</w:t>
            </w:r>
          </w:p>
        </w:tc>
        <w:tc>
          <w:tcPr>
            <w:tcW w:w="2079" w:type="dxa"/>
            <w:tcBorders/>
            <w:vAlign w:val="center"/>
          </w:tcPr>
          <w:p>
            <w:pPr>
              <w:pStyle w:val="Style17"/>
              <w:rPr/>
            </w:pPr>
            <w:r>
              <w:rPr/>
              <w:t>от раза в неделю до раза в месяц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Style17"/>
              <w:rPr/>
            </w:pPr>
            <w:r>
              <w:rPr/>
              <w:t>10%</w:t>
            </w:r>
          </w:p>
        </w:tc>
        <w:tc>
          <w:tcPr>
            <w:tcW w:w="1962" w:type="dxa"/>
            <w:tcBorders/>
            <w:vAlign w:val="center"/>
          </w:tcPr>
          <w:p>
            <w:pPr>
              <w:pStyle w:val="Style17"/>
              <w:rPr/>
            </w:pPr>
            <w:r>
              <w:rPr/>
              <w:t>&lt; 1 дня</w:t>
            </w:r>
          </w:p>
        </w:tc>
        <w:tc>
          <w:tcPr>
            <w:tcW w:w="1727" w:type="dxa"/>
            <w:tcBorders/>
            <w:vAlign w:val="center"/>
          </w:tcPr>
          <w:p>
            <w:pPr>
              <w:pStyle w:val="Style17"/>
              <w:rPr/>
            </w:pPr>
            <w:r>
              <w:rPr/>
              <w:t>35%</w:t>
            </w:r>
          </w:p>
        </w:tc>
      </w:tr>
      <w:tr>
        <w:trPr/>
        <w:tc>
          <w:tcPr>
            <w:tcW w:w="1026" w:type="dxa"/>
            <w:tcBorders/>
            <w:vAlign w:val="center"/>
          </w:tcPr>
          <w:p>
            <w:pPr>
              <w:pStyle w:val="Style17"/>
              <w:rPr/>
            </w:pPr>
            <w:r>
              <w:rPr/>
              <w:t>Low</w:t>
            </w:r>
          </w:p>
        </w:tc>
        <w:tc>
          <w:tcPr>
            <w:tcW w:w="1268" w:type="dxa"/>
            <w:tcBorders/>
            <w:vAlign w:val="center"/>
          </w:tcPr>
          <w:p>
            <w:pPr>
              <w:pStyle w:val="Style17"/>
              <w:rPr/>
            </w:pPr>
            <w:r>
              <w:rPr/>
              <w:t>1–6 месяцев</w:t>
            </w:r>
          </w:p>
        </w:tc>
        <w:tc>
          <w:tcPr>
            <w:tcW w:w="2079" w:type="dxa"/>
            <w:tcBorders/>
            <w:vAlign w:val="center"/>
          </w:tcPr>
          <w:p>
            <w:pPr>
              <w:pStyle w:val="Style17"/>
              <w:rPr/>
            </w:pPr>
            <w:r>
              <w:rPr/>
              <w:t>от раза в месяц до раза в полгода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Style17"/>
              <w:rPr/>
            </w:pPr>
            <w:r>
              <w:rPr/>
              <w:t>40%</w:t>
            </w:r>
          </w:p>
        </w:tc>
        <w:tc>
          <w:tcPr>
            <w:tcW w:w="1962" w:type="dxa"/>
            <w:tcBorders/>
            <w:vAlign w:val="center"/>
          </w:tcPr>
          <w:p>
            <w:pPr>
              <w:pStyle w:val="Style17"/>
              <w:rPr/>
            </w:pPr>
            <w:r>
              <w:rPr/>
              <w:t>1 неделя – 1 месяц</w:t>
            </w:r>
          </w:p>
        </w:tc>
        <w:tc>
          <w:tcPr>
            <w:tcW w:w="1727" w:type="dxa"/>
            <w:tcBorders/>
            <w:vAlign w:val="center"/>
          </w:tcPr>
          <w:p>
            <w:pPr>
              <w:pStyle w:val="Style17"/>
              <w:rPr/>
            </w:pPr>
            <w:r>
              <w:rPr/>
              <w:t>25%</w:t>
            </w:r>
          </w:p>
        </w:tc>
      </w:tr>
    </w:tbl>
    <w:p>
      <w:pPr>
        <w:pStyle w:val="BodyText"/>
        <w:spacing w:before="0" w:after="120"/>
        <w:jc w:val="both"/>
        <w:rPr>
          <w:rStyle w:val="Strong"/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BodyText"/>
        <w:spacing w:before="0" w:after="120"/>
        <w:jc w:val="both"/>
        <w:rPr>
          <w:rFonts w:ascii="Times New Roman" w:hAnsi="Times New Roman"/>
          <w:sz w:val="28"/>
        </w:rPr>
      </w:pPr>
      <w:r>
        <w:rPr>
          <w:rStyle w:val="Strong"/>
          <w:rFonts w:ascii="Times New Roman" w:hAnsi="Times New Roman"/>
          <w:sz w:val="28"/>
        </w:rPr>
        <w:t>Как читать таблицу: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rFonts w:ascii="Times New Roman" w:hAnsi="Times New Roman"/>
          <w:sz w:val="28"/>
        </w:rPr>
      </w:pPr>
      <w:r>
        <w:rPr>
          <w:rStyle w:val="Strong"/>
          <w:rFonts w:ascii="Times New Roman" w:hAnsi="Times New Roman"/>
          <w:sz w:val="28"/>
        </w:rPr>
        <w:t>Уровни не задаются заранее.</w:t>
      </w:r>
      <w:r>
        <w:rPr>
          <w:rFonts w:ascii="Times New Roman" w:hAnsi="Times New Roman"/>
          <w:sz w:val="28"/>
        </w:rPr>
        <w:t xml:space="preserve"> Их получают кластерным анализом ответов опроса и пересчитывают каждый год. Поэтому пороги в отчётах разных лет различаются, а между диапазонами бывают пропуски.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rFonts w:ascii="Times New Roman" w:hAnsi="Times New Roman"/>
          <w:sz w:val="28"/>
        </w:rPr>
      </w:pPr>
      <w:r>
        <w:rPr>
          <w:rStyle w:val="Strong"/>
          <w:rFonts w:ascii="Times New Roman" w:hAnsi="Times New Roman"/>
          <w:sz w:val="28"/>
        </w:rPr>
        <w:t>Это не лестница, где всё улучшается монотонно.</w:t>
      </w:r>
      <w:r>
        <w:rPr>
          <w:rFonts w:ascii="Times New Roman" w:hAnsi="Times New Roman"/>
          <w:sz w:val="28"/>
        </w:rPr>
        <w:t xml:space="preserve"> В 2024 году у кластера Medium доля неудачных изменений была ниже, чем у High. Авторы сами решили назвать «высоким» более быстрый кластер.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rFonts w:ascii="Times New Roman" w:hAnsi="Times New Roman"/>
          <w:sz w:val="28"/>
        </w:rPr>
      </w:pPr>
      <w:r>
        <w:rPr>
          <w:rStyle w:val="Strong"/>
          <w:rFonts w:ascii="Times New Roman" w:hAnsi="Times New Roman"/>
          <w:sz w:val="28"/>
        </w:rPr>
        <w:t>Правила «уровень определяется по худшей метрике» нет.</w:t>
      </w:r>
      <w:r>
        <w:rPr>
          <w:rFonts w:ascii="Times New Roman" w:hAnsi="Times New Roman"/>
          <w:sz w:val="28"/>
        </w:rPr>
        <w:t xml:space="preserve"> Это распространённое заблуждение: команда относится к кластеру по совокупности ответов.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rFonts w:ascii="Times New Roman" w:hAnsi="Times New Roman"/>
          <w:sz w:val="28"/>
        </w:rPr>
      </w:pPr>
      <w:r>
        <w:rPr>
          <w:rStyle w:val="Strong"/>
          <w:rFonts w:ascii="Times New Roman" w:hAnsi="Times New Roman"/>
          <w:sz w:val="28"/>
        </w:rPr>
        <w:t>Это не модель зрелости.</w:t>
      </w:r>
      <w:r>
        <w:rPr>
          <w:rFonts w:ascii="Times New Roman" w:hAnsi="Times New Roman"/>
          <w:sz w:val="28"/>
        </w:rPr>
        <w:t xml:space="preserve"> Авторы DORA не советуют так использовать уровни: важнее собственное улучшение, чем достижение определённого уровня.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jc w:val="both"/>
        <w:rPr>
          <w:rFonts w:ascii="Times New Roman" w:hAnsi="Times New Roman"/>
          <w:sz w:val="28"/>
        </w:rPr>
      </w:pPr>
      <w:r>
        <w:rPr>
          <w:rStyle w:val="Strong"/>
          <w:rFonts w:ascii="Times New Roman" w:hAnsi="Times New Roman"/>
          <w:sz w:val="28"/>
        </w:rPr>
        <w:t>В отчёте 2025 года DORA отказалась от четырёх уровней</w:t>
      </w:r>
      <w:r>
        <w:rPr>
          <w:rFonts w:ascii="Times New Roman" w:hAnsi="Times New Roman"/>
          <w:sz w:val="28"/>
        </w:rPr>
        <w:t xml:space="preserve"> и перешла к семи профилям команд. </w:t>
      </w:r>
    </w:p>
    <w:p>
      <w:pPr>
        <w:pStyle w:val="Heading3"/>
        <w:spacing w:before="0" w:after="120"/>
        <w:jc w:val="both"/>
        <w:rPr>
          <w:rFonts w:ascii="Times New Roman" w:hAnsi="Times New Roman"/>
          <w:b w:val="false"/>
          <w:szCs w:val="24"/>
        </w:rPr>
      </w:pPr>
      <w:r>
        <w:rPr>
          <w:rFonts w:ascii="Times New Roman" w:hAnsi="Times New Roman"/>
          <w:b w:val="false"/>
          <w:szCs w:val="24"/>
        </w:rPr>
        <w:t>Как применять и чего избегать</w:t>
      </w:r>
    </w:p>
    <w:p>
      <w:pPr>
        <w:pStyle w:val="BodyText"/>
        <w:spacing w:before="0" w:after="1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 рекомендациям DORA: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rFonts w:ascii="Times New Roman" w:hAnsi="Times New Roman"/>
          <w:sz w:val="28"/>
        </w:rPr>
      </w:pPr>
      <w:r>
        <w:rPr>
          <w:rStyle w:val="Strong"/>
          <w:rFonts w:ascii="Times New Roman" w:hAnsi="Times New Roman"/>
          <w:sz w:val="28"/>
        </w:rPr>
        <w:t>Мерить на уровне конкретного приложения или сервиса, а не организации.</w:t>
      </w:r>
      <w:r>
        <w:rPr>
          <w:rFonts w:ascii="Times New Roman" w:hAnsi="Times New Roman"/>
          <w:sz w:val="28"/>
        </w:rPr>
        <w:t xml:space="preserve"> Не сравнивать команды между собой, тем более отдельных людей. Не сравнивать несопоставимые системы, например мобильное приложение и мейнфрейм.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rFonts w:ascii="Times New Roman" w:hAnsi="Times New Roman"/>
          <w:sz w:val="28"/>
        </w:rPr>
      </w:pPr>
      <w:r>
        <w:rPr>
          <w:rStyle w:val="Strong"/>
          <w:rFonts w:ascii="Times New Roman" w:hAnsi="Times New Roman"/>
          <w:sz w:val="28"/>
        </w:rPr>
        <w:t>Не превращать метрики в цель (закон Гудхарта</w:t>
      </w:r>
      <w:r>
        <w:rPr>
          <w:rStyle w:val="Strong"/>
          <w:rFonts w:ascii="Times New Roman" w:hAnsi="Times New Roman"/>
          <w:b w:val="false"/>
          <w:bCs w:val="false"/>
          <w:sz w:val="28"/>
        </w:rPr>
        <w:t xml:space="preserve"> — это эмпирический принцип, который гласит: любая статистическая закономерность или измеримый показатель разрушается, как только его начинают использовать в качестве цели управления или предмета оптимизации</w:t>
      </w:r>
      <w:r>
        <w:rPr>
          <w:rStyle w:val="Strong"/>
          <w:rFonts w:ascii="Times New Roman" w:hAnsi="Times New Roman"/>
          <w:sz w:val="28"/>
        </w:rPr>
        <w:t>).</w:t>
      </w:r>
      <w:r>
        <w:rPr>
          <w:rFonts w:ascii="Times New Roman" w:hAnsi="Times New Roman"/>
          <w:sz w:val="28"/>
        </w:rPr>
        <w:t xml:space="preserve"> Требование вида «к концу года все деплоят несколько раз в день» подталкивает команды подгонять цифры.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rFonts w:ascii="Times New Roman" w:hAnsi="Times New Roman"/>
          <w:sz w:val="28"/>
        </w:rPr>
      </w:pPr>
      <w:r>
        <w:rPr>
          <w:rStyle w:val="Strong"/>
          <w:rFonts w:ascii="Times New Roman" w:hAnsi="Times New Roman"/>
          <w:sz w:val="28"/>
        </w:rPr>
        <w:t>Не опираться на одну метрику.</w:t>
      </w:r>
      <w:r>
        <w:rPr>
          <w:rFonts w:ascii="Times New Roman" w:hAnsi="Times New Roman"/>
          <w:sz w:val="28"/>
        </w:rPr>
        <w:t xml:space="preserve"> Нужен набор, в котором метрики уравновешивают друг друга.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rFonts w:ascii="Times New Roman" w:hAnsi="Times New Roman"/>
          <w:sz w:val="28"/>
        </w:rPr>
      </w:pPr>
      <w:r>
        <w:rPr>
          <w:rStyle w:val="Strong"/>
          <w:rFonts w:ascii="Times New Roman" w:hAnsi="Times New Roman"/>
          <w:sz w:val="28"/>
        </w:rPr>
        <w:t>Не откладывать улучшения ради идеальной системы измерений.</w:t>
      </w:r>
      <w:r>
        <w:rPr>
          <w:rFonts w:ascii="Times New Roman" w:hAnsi="Times New Roman"/>
          <w:sz w:val="28"/>
        </w:rPr>
        <w:t xml:space="preserve"> Начать можно с обсуждения в команде и опросника DORA Quick Check, а потом подключать данные CI/CD, мониторинга и трекера задач.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jc w:val="both"/>
        <w:rPr>
          <w:rFonts w:ascii="Times New Roman" w:hAnsi="Times New Roman"/>
          <w:sz w:val="28"/>
        </w:rPr>
      </w:pPr>
      <w:r>
        <w:rPr>
          <w:rStyle w:val="Strong"/>
          <w:rFonts w:ascii="Times New Roman" w:hAnsi="Times New Roman"/>
          <w:sz w:val="28"/>
        </w:rPr>
        <w:t>Заранее договориться о терминах:</w:t>
      </w:r>
      <w:r>
        <w:rPr>
          <w:rFonts w:ascii="Times New Roman" w:hAnsi="Times New Roman"/>
          <w:sz w:val="28"/>
        </w:rPr>
        <w:t xml:space="preserve"> что считается успешным развёртыванием, что считается сбоем и как инцидент связывается с конкретным релизом. </w:t>
      </w:r>
    </w:p>
    <w:p>
      <w:pPr>
        <w:pStyle w:val="Heading3"/>
        <w:spacing w:before="0" w:after="120"/>
        <w:jc w:val="both"/>
        <w:rPr>
          <w:rFonts w:ascii="Times New Roman" w:hAnsi="Times New Roman"/>
          <w:b w:val="false"/>
          <w:szCs w:val="24"/>
        </w:rPr>
      </w:pPr>
      <w:r>
        <w:rPr>
          <w:rFonts w:ascii="Times New Roman" w:hAnsi="Times New Roman"/>
          <w:b w:val="false"/>
          <w:szCs w:val="24"/>
        </w:rPr>
        <w:t>Ограничения</w:t>
      </w:r>
    </w:p>
    <w:p>
      <w:pPr>
        <w:pStyle w:val="BodyText"/>
        <w:spacing w:before="0" w:after="1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Метрики описывают конвейер поставки. Они не отражают удовлетворённость разработчиков, выгорание, качество кода и документации. Само исследование DORA эти факторы изучает, а в 2025 году включило их в профили команд. Но в пять метрик они не входят, поэтому их нужно измерять отдельно.</w:t>
      </w:r>
    </w:p>
    <w:p>
      <w:pPr>
        <w:pStyle w:val="Normal"/>
        <w:bidi w:val="0"/>
        <w:spacing w:before="0" w:after="120"/>
        <w:ind w:hanging="0"/>
        <w:jc w:val="start"/>
        <w:rPr/>
      </w:pPr>
      <w:r>
        <w:rPr>
          <w:rFonts w:ascii="Times New Roman" w:hAnsi="Times New Roman"/>
          <w:b/>
          <w:sz w:val="28"/>
        </w:rPr>
        <w:t>1.9. Связь со стандартом ISO/IEC 25010</w:t>
      </w:r>
    </w:p>
    <w:p>
      <w:pPr>
        <w:pStyle w:val="Normal"/>
        <w:bidi w:val="0"/>
        <w:spacing w:before="0" w:after="120"/>
        <w:ind w:firstLine="560"/>
        <w:jc w:val="both"/>
        <w:rPr/>
      </w:pPr>
      <w:r>
        <w:rPr>
          <w:rFonts w:ascii="Times New Roman" w:hAnsi="Times New Roman"/>
          <w:b w:val="false"/>
          <w:sz w:val="28"/>
        </w:rPr>
        <w:t>Общепринятая модель качества программного продукта описана в стандарте ISO/IEC 25010. В России действует его версия ГОСТ Р ИСО/МЭК 25010-2015, введённая с 1 июня 2016 года. В 2023 году вышла новая редакция международного стандарта ISO/IEC 25010:2023: в ней девять характеристик, добавлена безопасность в смысле отсутствия вреда (safety), удобство использования переименовано в interaction capability, переносимость — в flexibility, а масштабируемость стала подхарактеристикой гибкости.</w:t>
      </w:r>
    </w:p>
    <w:p>
      <w:pPr>
        <w:pStyle w:val="Normal"/>
        <w:bidi w:val="0"/>
        <w:spacing w:before="0" w:after="120"/>
        <w:ind w:firstLine="560"/>
        <w:jc w:val="both"/>
        <w:rPr>
          <w:rFonts w:ascii="Times New Roman" w:hAnsi="Times New Roman"/>
          <w:b w:val="false"/>
          <w:sz w:val="28"/>
        </w:rPr>
      </w:pPr>
      <w:r>
        <w:rPr>
          <w:rFonts w:ascii="Times New Roman" w:hAnsi="Times New Roman"/>
          <w:b w:val="false"/>
          <w:sz w:val="28"/>
        </w:rPr>
        <w:t xml:space="preserve">Пять атрибутов нашего плана в стандарте распределены по разным характеристикам: </w:t>
      </w:r>
    </w:p>
    <w:p>
      <w:pPr>
        <w:pStyle w:val="Normal"/>
        <w:bidi w:val="0"/>
        <w:spacing w:before="0" w:after="120"/>
        <w:ind w:firstLine="560"/>
        <w:jc w:val="both"/>
        <w:rPr>
          <w:rFonts w:ascii="Times New Roman" w:hAnsi="Times New Roman"/>
          <w:b w:val="false"/>
          <w:sz w:val="28"/>
        </w:rPr>
      </w:pPr>
      <w:r>
        <w:rPr>
          <w:rFonts w:ascii="Times New Roman" w:hAnsi="Times New Roman"/>
          <w:b w:val="false"/>
          <w:sz w:val="28"/>
        </w:rPr>
        <w:t>- производительность — в performance efficiency,</w:t>
      </w:r>
    </w:p>
    <w:p>
      <w:pPr>
        <w:pStyle w:val="Normal"/>
        <w:bidi w:val="0"/>
        <w:spacing w:before="0" w:after="120"/>
        <w:ind w:firstLine="560"/>
        <w:jc w:val="both"/>
        <w:rPr>
          <w:rFonts w:ascii="Times New Roman" w:hAnsi="Times New Roman"/>
          <w:b w:val="false"/>
          <w:sz w:val="28"/>
        </w:rPr>
      </w:pPr>
      <w:r>
        <w:rPr>
          <w:rFonts w:ascii="Times New Roman" w:hAnsi="Times New Roman"/>
          <w:b w:val="false"/>
          <w:sz w:val="28"/>
        </w:rPr>
        <w:t>- надёжность и доступность — в reliability,</w:t>
      </w:r>
    </w:p>
    <w:p>
      <w:pPr>
        <w:pStyle w:val="Normal"/>
        <w:bidi w:val="0"/>
        <w:spacing w:before="0" w:after="120"/>
        <w:ind w:firstLine="560"/>
        <w:jc w:val="both"/>
        <w:rPr>
          <w:rFonts w:ascii="Times New Roman" w:hAnsi="Times New Roman"/>
          <w:b w:val="false"/>
          <w:sz w:val="28"/>
        </w:rPr>
      </w:pPr>
      <w:r>
        <w:rPr>
          <w:rFonts w:ascii="Times New Roman" w:hAnsi="Times New Roman"/>
          <w:b w:val="false"/>
          <w:sz w:val="28"/>
        </w:rPr>
        <w:t>- сопровождаемость — в maintainability,</w:t>
      </w:r>
    </w:p>
    <w:p>
      <w:pPr>
        <w:pStyle w:val="Normal"/>
        <w:bidi w:val="0"/>
        <w:spacing w:before="0" w:after="120"/>
        <w:ind w:firstLine="560"/>
        <w:jc w:val="both"/>
        <w:rPr>
          <w:rFonts w:ascii="Times New Roman" w:hAnsi="Times New Roman"/>
          <w:b w:val="false"/>
          <w:sz w:val="28"/>
        </w:rPr>
      </w:pPr>
      <w:r>
        <w:rPr>
          <w:rFonts w:ascii="Times New Roman" w:hAnsi="Times New Roman"/>
          <w:b w:val="false"/>
          <w:sz w:val="28"/>
        </w:rPr>
        <w:t xml:space="preserve">- масштабируемость в редакции 2023 года — в flexibility. </w:t>
      </w:r>
    </w:p>
    <w:p>
      <w:pPr>
        <w:pStyle w:val="Normal"/>
        <w:bidi w:val="0"/>
        <w:spacing w:before="0" w:after="120"/>
        <w:ind w:hanging="0" w:start="0"/>
        <w:jc w:val="both"/>
        <w:rPr>
          <w:rFonts w:ascii="Times New Roman" w:hAnsi="Times New Roman"/>
          <w:b w:val="false"/>
          <w:sz w:val="28"/>
        </w:rPr>
      </w:pPr>
      <w:r>
        <w:rPr>
          <w:rFonts w:ascii="Times New Roman" w:hAnsi="Times New Roman"/>
          <w:b w:val="false"/>
          <w:sz w:val="28"/>
        </w:rPr>
        <w:tab/>
      </w:r>
    </w:p>
    <w:p>
      <w:pPr>
        <w:pStyle w:val="Normal"/>
        <w:bidi w:val="0"/>
        <w:spacing w:before="0" w:after="120"/>
        <w:ind w:hanging="0" w:start="0"/>
        <w:jc w:val="both"/>
        <w:rPr>
          <w:rFonts w:ascii="Times New Roman" w:hAnsi="Times New Roman"/>
          <w:b w:val="false"/>
          <w:sz w:val="28"/>
        </w:rPr>
      </w:pPr>
      <w:r>
        <w:rPr>
          <w:rFonts w:ascii="Times New Roman" w:hAnsi="Times New Roman"/>
          <w:b w:val="false"/>
          <w:sz w:val="28"/>
        </w:rPr>
        <w:tab/>
        <w:t>Противоречия здесь нет: план выделяет те свойства, которые сильнее всего влияют на архитектуру. Вне пятёрки остаются характеристики, о которых всё равно нужно помнить, — прежде всего безопасность и удобство использования.</w:t>
      </w:r>
    </w:p>
    <w:p>
      <w:pPr>
        <w:pStyle w:val="Normal"/>
        <w:bidi w:val="0"/>
        <w:spacing w:before="120" w:after="160"/>
        <w:ind w:hanging="0" w:start="567"/>
        <w:jc w:val="both"/>
        <w:rPr>
          <w:rFonts w:ascii="Times New Roman" w:hAnsi="Times New Roman"/>
          <w:b w:val="false"/>
          <w:i/>
          <w:sz w:val="0"/>
        </w:rPr>
      </w:pPr>
      <w:r>
        <w:rPr>
          <w:rFonts w:ascii="Times New Roman" w:hAnsi="Times New Roman"/>
          <w:b w:val="false"/>
          <w:i/>
          <w:sz w:val="0"/>
        </w:rPr>
      </w:r>
    </w:p>
    <w:p>
      <w:pPr>
        <w:pStyle w:val="Normal"/>
        <w:bidi w:val="0"/>
        <w:spacing w:before="0" w:after="120"/>
        <w:ind w:hanging="0"/>
        <w:jc w:val="start"/>
        <w:rPr/>
      </w:pPr>
      <w:r>
        <w:rPr>
          <w:rFonts w:ascii="Times New Roman" w:hAnsi="Times New Roman"/>
          <w:b/>
          <w:sz w:val="28"/>
        </w:rPr>
        <w:t>1.10. SLI и SLO</w:t>
      </w:r>
    </w:p>
    <w:p>
      <w:pPr>
        <w:pStyle w:val="Normal"/>
        <w:bidi w:val="0"/>
        <w:spacing w:before="0" w:after="120"/>
        <w:ind w:firstLine="560"/>
        <w:jc w:val="both"/>
        <w:rPr/>
      </w:pPr>
      <w:r>
        <w:rPr>
          <w:rFonts w:ascii="Times New Roman" w:hAnsi="Times New Roman"/>
          <w:b w:val="false"/>
          <w:sz w:val="28"/>
        </w:rPr>
        <w:t>Чтобы о требовании к качеству можно было договориться, нужны два понятия. SLI (service level indicator) — показатель, который реально измеряется: доля успешных запросов, 95-й перцентиль времени отклика. SLO (service level objective) — целевое значение этого показателя за период: «p95 времени открытия меню не больше 2 секунд за 30 дней». Требование без SLI нельзя проверить, требование без SLO нельзя принять. Термины взяты из практики эксплуатации сервисов Google и подробно описаны в книге «Site Reliability Engineering».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5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user2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Style14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Emphasis">
    <w:name w:val="Emphasis"/>
    <w:qFormat/>
    <w:rPr>
      <w:i/>
      <w:iCs/>
    </w:rPr>
  </w:style>
  <w:style w:type="character" w:styleId="user">
    <w:name w:val="Символ нумерации (user)"/>
    <w:qFormat/>
    <w:rPr/>
  </w:style>
  <w:style w:type="character" w:styleId="user1">
    <w:name w:val="Маркеры (user)"/>
    <w:qFormat/>
    <w:rPr>
      <w:rFonts w:ascii="OpenSymbol" w:hAnsi="OpenSymbol" w:eastAsia="OpenSymbol" w:cs="OpenSymbol"/>
    </w:rPr>
  </w:style>
  <w:style w:type="character" w:styleId="Style12">
    <w:name w:val="Символ нумерации"/>
    <w:qFormat/>
    <w:rPr/>
  </w:style>
  <w:style w:type="character" w:styleId="Style13">
    <w:name w:val="Маркеры"/>
    <w:qFormat/>
    <w:rPr>
      <w:rFonts w:ascii="OpenSymbol" w:hAnsi="OpenSymbol" w:eastAsia="OpenSymbol" w:cs="OpenSymbol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Arial"/>
    </w:rPr>
  </w:style>
  <w:style w:type="paragraph" w:styleId="Style16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</TotalTime>
  <Application>LibreOffice/26.2.1.2$Windows_X86_64 LibreOffice_project/620$Build-2</Application>
  <AppVersion>15.0000</AppVersion>
  <Pages>7</Pages>
  <Words>1815</Words>
  <Characters>11171</Characters>
  <CharactersWithSpaces>12885</CharactersWithSpaces>
  <Paragraphs>140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2026-09-25T01:42:29Z</dcterms:created>
  <dc:creator/>
  <dc:description/>
  <dc:language>ru-RU</dc:language>
  <cp:lastModifiedBy/>
  <dcterms:modified xsi:type="dcterms:W3CDTF">2026-09-25T02:22:58Z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