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sz w:val="32"/>
        </w:rPr>
        <w:t>Практическое занятие №3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sz w:val="26"/>
        </w:rPr>
        <w:t>Тема: Use Case и пользовательские сценарии</w:t>
      </w:r>
    </w:p>
    <w:p>
      <w:pPr>
        <w:spacing w:before="0" w:after="240" w:line="276" w:lineRule="auto"/>
        <w:jc w:val="center"/>
      </w:pPr>
      <w:r>
        <w:rPr>
          <w:rFonts w:ascii="Times New Roman" w:hAnsi="Times New Roman"/>
          <w:b/>
          <w:sz w:val="22"/>
        </w:rPr>
        <w:t xml:space="preserve">Проект: </w:t>
      </w:r>
      <w:r>
        <w:rPr>
          <w:rFonts w:ascii="Times New Roman" w:hAnsi="Times New Roman"/>
          <w:sz w:val="22"/>
        </w:rPr>
        <w:t>«Умный ресторан: 2D-конструктор схем залов и онлайн-бронирование столов»</w:t>
        <w:br/>
      </w:r>
      <w:r>
        <w:rPr>
          <w:rFonts w:ascii="Times New Roman" w:hAnsi="Times New Roman"/>
          <w:b/>
          <w:sz w:val="22"/>
        </w:rPr>
        <w:t xml:space="preserve">Группа: </w:t>
      </w:r>
      <w:r>
        <w:rPr>
          <w:rFonts w:ascii="Times New Roman" w:hAnsi="Times New Roman"/>
          <w:sz w:val="22"/>
        </w:rPr>
        <w:t xml:space="preserve">ЭФБО-13-25   |   </w:t>
      </w:r>
      <w:r>
        <w:rPr>
          <w:rFonts w:ascii="Times New Roman" w:hAnsi="Times New Roman"/>
          <w:b/>
          <w:sz w:val="22"/>
        </w:rPr>
        <w:t xml:space="preserve">Команда: </w:t>
      </w:r>
      <w:r>
        <w:rPr>
          <w:rFonts w:ascii="Times New Roman" w:hAnsi="Times New Roman"/>
          <w:sz w:val="22"/>
        </w:rPr>
        <w:t xml:space="preserve">Вкусно_и_Жир   |   </w:t>
      </w:r>
      <w:r>
        <w:rPr>
          <w:rFonts w:ascii="Times New Roman" w:hAnsi="Times New Roman"/>
          <w:b/>
          <w:sz w:val="22"/>
        </w:rPr>
        <w:t xml:space="preserve">Дата: </w:t>
      </w:r>
      <w:r>
        <w:rPr>
          <w:rFonts w:ascii="Times New Roman" w:hAnsi="Times New Roman"/>
          <w:sz w:val="22"/>
        </w:rPr>
        <w:t>10.10.2026</w:t>
      </w:r>
    </w:p>
    <w:p>
      <w:pPr>
        <w:spacing w:before="120" w:after="12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Дополнительный материал команды: Требование к качеству должно быть проверяемым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Формулировки «система работает быстро», «сервис надёжный», «интерфейс удобный» кажутся понятными, пока не начинается приёмка. Тогда выясняется, что заказчик под «быстро» понимал одну секунду, а команда — десять. Спорить не о чем: требование не говорит, что считать выполненным. Поэтому требование к качеству записывают так, чтобы его можно было однозначно проверить.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/>
          <w:sz w:val="24"/>
        </w:rPr>
        <w:t>Способ формулирования зависит от того, измеряется ли характеристика количественно.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1. Характеристика измеряется количественно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Задают метрику, целевое значение и условия, при которых значение должно соблюдаться. Условия обязательны: «ответ за 1.5 секунды» при одном пользователе и при сотне одновременных гостей — это принципиально разные требования.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/>
          <w:sz w:val="23"/>
        </w:rPr>
        <w:t xml:space="preserve">Пример для проекта «Умный ресторан»: </w:t>
      </w:r>
      <w:r>
        <w:rPr>
          <w:rFonts w:ascii="Times New Roman" w:hAnsi="Times New Roman"/>
          <w:i/>
          <w:sz w:val="23"/>
        </w:rPr>
        <w:t>«В пятничный вечерний час пик при 100 одновременно активных гостях расчет доступности столов и отображение интерактивной 2D-схемы зала на выбранный интервал времени выполняется не дольше 1.5 секунд для 95% запросов (p95 ≤ 1.5 с) при уровне сетевых ошибок HTTP 5xx менее 0.1%».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2. Характеристика не измеряется одним числом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Записывают проверяемое правило. Так обычно формулируют требования к защищённости, ролевому разграничению доступа и целостности данных. Числа здесь нет, но проверить требование можно однозначно бинарным критерием (выполнено / не выполнено).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/>
          <w:sz w:val="23"/>
        </w:rPr>
        <w:t xml:space="preserve">Пример 1 (Безопасность и RBAC): </w:t>
      </w:r>
      <w:r>
        <w:rPr>
          <w:rFonts w:ascii="Times New Roman" w:hAnsi="Times New Roman"/>
          <w:i/>
          <w:sz w:val="23"/>
        </w:rPr>
        <w:t>«Создавать, редактировать и публиковать ревизии 2D-схемы залов ресторана имеет право исключительно пользователь с ролью constructor или admin; любая попытка изменения схемы со стороны гостя (guest) или неавторизованного пользователя отклоняется с кодом HTTP 403 Forbidden и записью события в AuditLog».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/>
          <w:sz w:val="23"/>
        </w:rPr>
        <w:t xml:space="preserve">Пример 2 (Целостность данных): </w:t>
      </w:r>
      <w:r>
        <w:rPr>
          <w:rFonts w:ascii="Times New Roman" w:hAnsi="Times New Roman"/>
          <w:i/>
          <w:sz w:val="23"/>
        </w:rPr>
        <w:t>«Публикация новой ревизии схемы зала блокируется валидатором, если при изменении планировки удаляется стол или уменьшается его вместимость при наличии будущих активных подтвержденных броней (status = confirmed); система возвращает перечень конфликтующих броней и отклоняет сохранение».</w:t>
      </w:r>
    </w:p>
    <w:p>
      <w:pPr>
        <w:spacing w:before="80"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3. Как проверяют и что считать выполненным</w:t>
      </w:r>
    </w:p>
    <w:p>
      <w:pPr>
        <w:spacing w:before="0" w:after="8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Проверка не всегда означает автоматический юнит-тест. Время отклика проверяют нагрузочным тестированием (k6 / Artillery), защиту от двойных броней — интеграционными тестами транзакций и параллельных запросов (Vitest / Supertest), удобство SVG-конструктора — наблюдением за пользователями (usability test). Во всех случаях заранее договариваются о критериях приемки: «p95 не более 1.5 с», «0 случаев овербукинга при параллельных транзакциях», «время оцифровки зала до 20 минут».</w:t>
      </w:r>
    </w:p>
    <w:p>
      <w:pPr>
        <w:spacing w:before="0" w:after="160" w:line="276" w:lineRule="auto"/>
        <w:jc w:val="left"/>
      </w:pPr>
      <w:r>
        <w:rPr>
          <w:rFonts w:ascii="Times New Roman" w:hAnsi="Times New Roman"/>
          <w:b w:val="0"/>
          <w:i/>
          <w:sz w:val="24"/>
        </w:rPr>
        <w:t>Если значение взять неоткуда, в спецификации фиксируют: «значение не установлено, уточнить у заказчика». Придуманное число хуже отсутствующего, так как на нем строится выбор архитектуры БД и сетевого взаимодействия.</w:t>
      </w: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4. Сценарии атрибутов качества по проекту (модель Bass, Clements, Kazman)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Для ключевых атрибутов качества ситуация раскладывается на 6 структурированных компонентов: Источник, Стимул, Среда, Артефакт, Отклик и Мера отклика. Из сценария собирается итоговая проверяемая формулировка требования для технического задания и приемочного тестирования.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  <w:shd w:fill="EAECE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Часть сценария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  <w:shd w:fill="EAECE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Сценарий 1: Производительность (Latency)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  <w:shd w:fill="EAECE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Сценарий 2: Надежность (No Overbooking)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  <w:shd w:fill="EAECE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Сценарий 3: Целостность (Layout Safety)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  <w:shd w:fill="EAECE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Сценарий 4: Отзывчивость UI (2D Constructor)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  <w:shd w:fill="F4F5F7"/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b/>
                <w:sz w:val="18"/>
              </w:rPr>
              <w:t>Источник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Гости ресторана (веб-клиенты)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Два или более гостя одновременно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Конструктор / администратор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Пользователь-конструктор схем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  <w:shd w:fill="F4F5F7"/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b/>
                <w:sz w:val="18"/>
              </w:rPr>
              <w:t>Стимул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Одновременный запрос доступности столов на интерактивной карте зала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Одновременная попытка забронировать один и тот же стол на пересекающийся слот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Попытка опубликовать ревизию схемы с удалением столов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Манипуляции со столами и зонами (drag-and-drop, вращение, масштабирование)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  <w:shd w:fill="F4F5F7"/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b/>
                <w:sz w:val="18"/>
              </w:rPr>
              <w:t>Среда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Вечерний час наибольшей нагрузки (100 одновременных пользователей)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Штатный режим работы сервиса онлайн-бронирования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Наличие в БД будущих подтвержденных броней на удаляемые столы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Браузер клиента, холст SVG со сложной геометрией (50+ столов, полигоны зон)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  <w:shd w:fill="F4F5F7"/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b/>
                <w:sz w:val="18"/>
              </w:rPr>
              <w:t>Артефакт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Сервис бронирования (модуль booking) и БД PostgreSQL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Транзакционный модуль бронирования и таблица Reservation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Модуль layout (валидатор ревизий) и API публикации схемы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Клиентский SVG-компонент &lt;FloorPlanSVG&gt;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  <w:shd w:fill="F4F5F7"/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b/>
                <w:sz w:val="18"/>
              </w:rPr>
              <w:t>Отклик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Вычисление занятости столов с учетом буфера 15 мин и отдача SVG-карты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Одна бронь успешно подтверждается, остальным возвращается сообщение о занятости стола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Публикация блокируется, возвращается ошибка с перечнем конфликтующих броней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Плавный рендеринг перемещения объектов без задержек и фризов интерфейса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  <w:shd w:fill="F4F5F7"/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b/>
                <w:sz w:val="18"/>
              </w:rPr>
              <w:t>Мера отклика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p95 времени отклика ≤ 1.5 с, доля ошибок HTTP 5xx ≤ 0.1%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Ровно 1 бронь создана, 0 случаев овербукинга, время фиксации ≤ 500 мс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100% блокировка опасных публикаций, целостность броней сохранена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8"/>
              </w:rPr>
              <w:t>Частота кадров рендеринга ≥ 50 fps, задержка реакции drag-and-drop ≤ 16 мс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6"/>
        </w:rPr>
        <w:t>5. Перечень проверяемых требований к качеству (Бланк 8)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Итоговые формулировки требований, привязанные к Use Case проекта, с описанием методов проверки и обоснованием значений: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  <w:shd w:fill="EAECE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№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  <w:shd w:fill="EAECE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Требование к качеству в проверяемой форме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  <w:shd w:fill="EAECE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Как проверить (метод приемки)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  <w:shd w:fill="EAECE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Связанный Use Case и шаг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  <w:shd w:fill="EAECEF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Откуда значение / Обоснование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  <w:shd w:fill="F4F5F7"/>
          </w:tcPr>
          <w:p>
            <w:pPr>
              <w:spacing w:line="252" w:lineRule="auto" w:before="20" w:after="2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1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В пиковый период нагрузки при 100 одновременно активных веб-пользователях сервис бронирования рассчитывает доступность столов и отдает 2D-схему за время p95 ≤ 1.5 с при доле ошибок менее 0.1%.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Нагрузочный автотест (k6) сценария запроса слотов доступности столов залов на тестовом стенде.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UC-1: Поиск и выбор стола на 2D-схеме зала (Шаг 2: Отображение доступности)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ТЗ, §10 (требования производительности интерактивного веб-клиента)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  <w:shd w:fill="F4F5F7"/>
          </w:tcPr>
          <w:p>
            <w:pPr>
              <w:spacing w:line="252" w:lineRule="auto" w:before="20" w:after="2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2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При параллельной одновременной попытке бронирования одного и того же стола несколькими гостями исключается овербукинг: подтверждается ровно одна бронь, остальным возвращается корректный статус недоступности стола с предложением альтернатив.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Интеграционный автотест параллельных транзакций бронирования (Vitest / Supertest с блокировкой слота на уровне БД).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UC-1: Оформление бронирования стола (Шаг 4: Подтверждение брони)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ТЗ, §8 и §9 (бизнес-правило строгой защиты от двойных броней)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  <w:shd w:fill="F4F5F7"/>
          </w:tcPr>
          <w:p>
            <w:pPr>
              <w:spacing w:line="252" w:lineRule="auto" w:before="20" w:after="2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3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Расчет доступности столов автоматически учитывает технический буфер 15 минут после окончания каждой брони; ни один стол не может быть забронирован на интервал, пересекающийся с буфером подготовки.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Юнит-тесты алгоритма пересечения временных интервалов (функция checkSlotOverlap в модуле booking).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UC-1: Расчет слотов доступности стола (Шаг 3: Проверка пересечений)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ТЗ, §6.2 и §8 (технологический буфер на уборку и подготовку стола)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  <w:shd w:fill="F4F5F7"/>
          </w:tcPr>
          <w:p>
            <w:pPr>
              <w:spacing w:line="252" w:lineRule="auto" w:before="20" w:after="2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Публикация новой ревизии схемы зала блокируется валидатором с кодом HTTP 409 Conflict, если при редактировании удаляется стол или уменьшается количество мест стола, имеющего будущие активные бронирования (status = confirmed).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Автотест API публикации схемы (/api/v1/layout/publish) при наличии активных подтвержденных броней в тестовой БД.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UC-2: Публикация ревизии схемы зала (Шаг 3: Валидация перед релизом)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ТЗ, §7.1 и §8 (защита целостности активных броней ресторана)</w:t>
            </w:r>
          </w:p>
        </w:tc>
      </w:tr>
      <w:tr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  <w:shd w:fill="F4F5F7"/>
          </w:tcPr>
          <w:p>
            <w:pPr>
              <w:spacing w:line="252" w:lineRule="auto" w:before="20" w:after="2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Интерактивный SVG-холст конструктора схем обеспечивает плавное перемещение объектов (drag-and-drop) и масштабирование без зависаний интерфейса (частота рендеринга не ниже 50 fps, время отклика UI на перетаскивание стола ≤ 16 мс) на планах этажей, содержащих до 100 столов.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Тестирование производительности рендеринга через Chrome DevTools Performance Profiler на эталонном стенде.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UC-3: Редактирование схемы зала в 2D-конструкторе (Шаг 2: Расстановка столов)</w:t>
            </w:r>
          </w:p>
        </w:tc>
        <w:tc>
          <w:tcPr>
            <w:tcW w:type="dxa" w:w="1872"/>
            <w:tcMar>
              <w:top w:w="60" w:type="dxa"/>
              <w:bottom w:w="60" w:type="dxa"/>
              <w:left w:w="70" w:type="dxa"/>
              <w:right w:w="70" w:type="dxa"/>
            </w:tcMar>
          </w:tcPr>
          <w:p>
            <w:pPr>
              <w:spacing w:line="252" w:lineRule="auto" w:before="20" w:after="20"/>
            </w:pPr>
            <w:r>
              <w:rPr>
                <w:rFonts w:ascii="Times New Roman" w:hAnsi="Times New Roman"/>
                <w:sz w:val="17"/>
              </w:rPr>
              <w:t>ТЗ, §3 и §10 (требования к архитектуре легковесного SVG-рендерера)</w:t>
            </w:r>
          </w:p>
        </w:tc>
      </w:tr>
    </w:tbl>
    <w:p>
      <w:pPr>
        <w:spacing w:before="0" w:after="120" w:line="276" w:lineRule="auto"/>
        <w:jc w:val="left"/>
      </w:pPr>
    </w:p>
    <w:p>
      <w:pPr>
        <w:spacing w:before="120" w:after="8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>6. Критерии самопроверки требований</w:t>
      </w:r>
    </w:p>
    <w:p>
      <w:pPr>
        <w:spacing w:before="0" w:after="6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• Как инженер по тестированию или заказчик докажет выполнение требования? Для каждого требования определен конкретный метод проверки (нагрузочный тест k6, интеграционный тест Vitest, профилировщик Chrome DevTools, валидатор схем).</w:t>
      </w:r>
    </w:p>
    <w:p>
      <w:pPr>
        <w:spacing w:before="0" w:after="6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• Каждое количественное требование снабжено конкретной нагрузкой и условиями (пиковый час, 100 одновременных гостей, планы до 100 столов).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• Все требования привязаны к конкретным шагам Use Case проекта и опираются на согласованное ТЗ системы Smart Restaurant.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