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AF51" w14:textId="6A50F2AE" w:rsidR="001C284A" w:rsidRPr="00A7147D" w:rsidRDefault="00A7147D">
      <w:pPr>
        <w:rPr>
          <w:sz w:val="32"/>
          <w:szCs w:val="32"/>
        </w:rPr>
      </w:pPr>
      <w:r w:rsidRPr="00A7147D">
        <w:rPr>
          <w:sz w:val="32"/>
          <w:szCs w:val="32"/>
        </w:rPr>
        <w:t xml:space="preserve">In ensemble algorithms, bagging methods form a class of algorithms </w:t>
      </w:r>
      <w:r>
        <w:rPr>
          <w:sz w:val="32"/>
          <w:szCs w:val="32"/>
        </w:rPr>
        <w:t>that</w:t>
      </w:r>
      <w:r w:rsidRPr="00A7147D">
        <w:rPr>
          <w:sz w:val="32"/>
          <w:szCs w:val="32"/>
        </w:rPr>
        <w:t xml:space="preserve"> build several instances of a black-box estimator on random subsets of the original training set and then aggregate their individual predictions to form a final prediction. These methods are used as a way to reduce the variance of a base estimator (e.g., a decision tree), by introducing randomization into its construction procedure and then making an ensemble out of it. In many cases, bagging methods constitute a very simple way to improve with respect to a single model, without making it necessary to adapt the underlying base algorithm. As they provide a way to reduce overfitting, bagging methods work best with strong and complex models (e.g., fully developed decision trees), in contrast with boosting methods which usually work best with weak models (e.g., shallow decision trees).</w:t>
      </w:r>
    </w:p>
    <w:sectPr w:rsidR="001C284A" w:rsidRPr="00A7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7D"/>
    <w:rsid w:val="001C284A"/>
    <w:rsid w:val="00A7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F0F4"/>
  <w15:chartTrackingRefBased/>
  <w15:docId w15:val="{58979CA3-11C5-404F-A858-3662B1FA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2023-03-17T14:34:00Z</dcterms:created>
  <dcterms:modified xsi:type="dcterms:W3CDTF">2023-03-17T14:35:00Z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02f9a47e-3e5d-4e0b-be99-c99e4f9e09f0</vt:lpwstr>
  </property>
</Properties>
</file>