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FD5" w:rsidRPr="00F47FD5" w:rsidRDefault="00F47FD5" w:rsidP="00F47FD5">
      <w:pPr>
        <w:rPr>
          <w:sz w:val="32"/>
          <w:szCs w:val="32"/>
        </w:rPr>
      </w:pPr>
      <w:r w:rsidRPr="00F47FD5">
        <w:rPr>
          <w:sz w:val="32"/>
          <w:szCs w:val="32"/>
        </w:rPr>
        <w:t>Inertia can be recognized as a measure of how internally coherent clusters are. It suffers from various drawbacks:</w:t>
      </w:r>
    </w:p>
    <w:p w:rsidR="00F47FD5" w:rsidRPr="00F47FD5" w:rsidRDefault="00F47FD5" w:rsidP="00F47FD5">
      <w:pPr>
        <w:rPr>
          <w:sz w:val="32"/>
          <w:szCs w:val="32"/>
        </w:rPr>
      </w:pPr>
    </w:p>
    <w:p w:rsidR="00F47FD5" w:rsidRPr="00F47FD5" w:rsidRDefault="00F47FD5" w:rsidP="00F47FD5">
      <w:pPr>
        <w:rPr>
          <w:sz w:val="32"/>
          <w:szCs w:val="32"/>
        </w:rPr>
      </w:pPr>
      <w:r w:rsidRPr="00F47FD5">
        <w:rPr>
          <w:sz w:val="32"/>
          <w:szCs w:val="32"/>
        </w:rPr>
        <w:t>Inertia makes the assumption that clusters are convex and isotropic, which is not always the case. It responds poorly to elongated clusters or manifolds with irregular shapes.</w:t>
      </w:r>
    </w:p>
    <w:p w:rsidR="00F47FD5" w:rsidRPr="00F47FD5" w:rsidRDefault="00F47FD5" w:rsidP="00F47FD5">
      <w:pPr>
        <w:rPr>
          <w:sz w:val="32"/>
          <w:szCs w:val="32"/>
        </w:rPr>
      </w:pPr>
    </w:p>
    <w:p w:rsidR="00F47FD5" w:rsidRPr="00F47FD5" w:rsidRDefault="00F47FD5" w:rsidP="00F47FD5">
      <w:pPr>
        <w:rPr>
          <w:sz w:val="32"/>
          <w:szCs w:val="32"/>
        </w:rPr>
      </w:pPr>
      <w:r w:rsidRPr="00F47FD5">
        <w:rPr>
          <w:sz w:val="32"/>
          <w:szCs w:val="32"/>
        </w:rPr>
        <w:t>Inertia is not a normalized metric: we just know that lower values are better and zero is optimal. But in very high-dimensional spaces, Euclidean distances tend to become inflated (this is an instance of the so-called “curse of dimensionality”). Running a dimensionality reduction algorithm such as Principal component analysis (PCA) prior to k-means clustering can alleviate this problem and speed up the computations.</w:t>
      </w:r>
    </w:p>
    <w:p w:rsidR="00E96622" w:rsidRDefault="00E96622"/>
    <w:sectPr w:rsidR="00E9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D5"/>
    <w:rsid w:val="00E96622"/>
    <w:rsid w:val="00F4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5EB0"/>
  <w15:chartTrackingRefBased/>
  <w15:docId w15:val="{1E806344-BE84-4C31-84EB-471CE200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1</cp:revision>
  <dcterms:created xsi:type="dcterms:W3CDTF">2023-03-04T03:32:00Z</dcterms:created>
  <dcterms:modified xsi:type="dcterms:W3CDTF">2023-03-04T03:39:00Z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f62215b4-0cd6-4be3-9f48-4b144cf754a3</vt:lpwstr>
  </property>
</Properties>
</file>