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079D" w:rsidRPr="00F0079D" w:rsidRDefault="00F0079D" w:rsidP="00F0079D">
      <w:pPr>
        <w:rPr>
          <w:sz w:val="32"/>
          <w:szCs w:val="32"/>
        </w:rPr>
      </w:pPr>
      <w:r w:rsidRPr="00F0079D">
        <w:rPr>
          <w:sz w:val="32"/>
          <w:szCs w:val="32"/>
        </w:rPr>
        <w:t xml:space="preserve">The </w:t>
      </w:r>
      <w:proofErr w:type="spellStart"/>
      <w:r w:rsidRPr="00F0079D">
        <w:rPr>
          <w:sz w:val="32"/>
          <w:szCs w:val="32"/>
        </w:rPr>
        <w:t>KMeans</w:t>
      </w:r>
      <w:proofErr w:type="spellEnd"/>
      <w:r w:rsidRPr="00F0079D">
        <w:rPr>
          <w:sz w:val="32"/>
          <w:szCs w:val="32"/>
        </w:rPr>
        <w:t xml:space="preserve"> algorithm clusters data by trying to separate samples in n groups of equal variance, minimizing a criterion known as the inertia or within-cluster sum-of-squares (see below). This algorithm requires the number of clusters to be specified. It scales well to large numbers of samples and has been used across a large range of application areas in many different fields.</w:t>
      </w:r>
    </w:p>
    <w:p w:rsidR="00F0079D" w:rsidRPr="00F0079D" w:rsidRDefault="00F0079D" w:rsidP="00F0079D">
      <w:pPr>
        <w:rPr>
          <w:sz w:val="32"/>
          <w:szCs w:val="32"/>
        </w:rPr>
      </w:pPr>
    </w:p>
    <w:p w:rsidR="00E96622" w:rsidRDefault="00E96622" w:rsidP="00F0079D"/>
    <w:sectPr w:rsidR="00E9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9D"/>
    <w:rsid w:val="00E96622"/>
    <w:rsid w:val="00F0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D41D"/>
  <w15:chartTrackingRefBased/>
  <w15:docId w15:val="{34256943-DA88-4BD4-8F06-A8FD3AF7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2023-03-04T03:22:00Z</dcterms:created>
  <dcterms:modified xsi:type="dcterms:W3CDTF">2023-03-04T03:23:00Z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d5b5056e-6856-4e31-b691-01cb44afcea2</vt:lpwstr>
  </property>
</Properties>
</file>