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9BE5" w14:textId="6D5790A0" w:rsidR="00E6403E" w:rsidRPr="00E6403E" w:rsidRDefault="00E6403E" w:rsidP="00E6403E">
      <w:pPr>
        <w:rPr>
          <w:sz w:val="32"/>
          <w:szCs w:val="32"/>
        </w:rPr>
      </w:pPr>
      <w:r w:rsidRPr="00E6403E">
        <w:rPr>
          <w:sz w:val="32"/>
          <w:szCs w:val="32"/>
        </w:rPr>
        <w:t xml:space="preserve">Neighborhood Components Analysis (NCA, NeighborhoodComponentsAnalysis) is a distance metric learning algorithm </w:t>
      </w:r>
      <w:r>
        <w:rPr>
          <w:sz w:val="32"/>
          <w:szCs w:val="32"/>
        </w:rPr>
        <w:t>that</w:t>
      </w:r>
      <w:r w:rsidRPr="00E6403E">
        <w:rPr>
          <w:sz w:val="32"/>
          <w:szCs w:val="32"/>
        </w:rPr>
        <w:t xml:space="preserve"> aims to improve the accuracy of nearest neighbors classification compared to the standard Euclidean distance. The algorithm directly maximizes a stochastic variant of the leave-one-out k-nearest neighbors (KNN) score on the training set. It can also learn a low-dimensional linear projection of data that can be used for data visualization and fast classification.</w:t>
      </w:r>
    </w:p>
    <w:p w14:paraId="16BC6C52" w14:textId="77777777" w:rsidR="00E6403E" w:rsidRDefault="00E6403E" w:rsidP="00E6403E"/>
    <w:p w14:paraId="0D71415F" w14:textId="32972322" w:rsidR="00E6403E" w:rsidRDefault="00E6403E" w:rsidP="00E6403E">
      <w:pPr>
        <w:pStyle w:val="centered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noProof/>
          <w:color w:val="2878A2"/>
        </w:rPr>
        <w:lastRenderedPageBreak/>
        <w:drawing>
          <wp:inline distT="0" distB="0" distL="0" distR="0" wp14:anchorId="1631D704" wp14:editId="63B85B65">
            <wp:extent cx="5943600" cy="4457700"/>
            <wp:effectExtent l="0" t="0" r="0" b="0"/>
            <wp:docPr id="2" name="Picture 2" descr="nca_illustration_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a_illustration_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noProof/>
          <w:color w:val="0056B3"/>
        </w:rPr>
        <w:lastRenderedPageBreak/>
        <w:drawing>
          <wp:inline distT="0" distB="0" distL="0" distR="0" wp14:anchorId="11127DD0" wp14:editId="56214505">
            <wp:extent cx="5943600" cy="4457700"/>
            <wp:effectExtent l="0" t="0" r="0" b="0"/>
            <wp:docPr id="1" name="Picture 1" descr="nca_illustration_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a_illustration_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932A" w14:textId="77777777" w:rsidR="00E6403E" w:rsidRDefault="00E6403E" w:rsidP="00E6403E"/>
    <w:p w14:paraId="40B9B647" w14:textId="203C88A7" w:rsidR="008676C9" w:rsidRPr="00E6403E" w:rsidRDefault="00E6403E" w:rsidP="00E6403E">
      <w:pPr>
        <w:rPr>
          <w:sz w:val="32"/>
          <w:szCs w:val="32"/>
        </w:rPr>
      </w:pPr>
      <w:r w:rsidRPr="00E6403E">
        <w:rPr>
          <w:sz w:val="32"/>
          <w:szCs w:val="32"/>
        </w:rPr>
        <w:t>In the above illustrating figure, we consider some points from a randomly generated dataset. We focus on the stochastic KNN classification of point no. 3. The thickness of a link between sample 3 and another point is proportional to their distance, and can be seen as the relative weight (or probability) that a stochastic nearest neighbor prediction rule would assign to this point. In the original space, sample 3 has many stochastic neighbors from various classes, so the right class is not very likely. However, in the projected space learned by NCA, the only stochastic neighbors with non-negligible weight are from the same class as sample 3, guaranteeing that the latter will be well classified.</w:t>
      </w:r>
    </w:p>
    <w:sectPr w:rsidR="008676C9" w:rsidRPr="00E6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3E"/>
    <w:rsid w:val="008676C9"/>
    <w:rsid w:val="00E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B01E"/>
  <w15:chartTrackingRefBased/>
  <w15:docId w15:val="{D789CFB7-1F5E-4031-A6EF-E61B25C1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rsid w:val="00E6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ikit-learn.org/stable/auto_examples/neighbors/plot_nca_illu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1006</Characters>
  <Application>Microsoft Office Word</Application>
  <DocSecurity>0</DocSecurity>
  <Lines>22</Lines>
  <Paragraphs>7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2023-02-25T01:15:00Z</dcterms:created>
  <dcterms:modified xsi:type="dcterms:W3CDTF">2023-02-25T01:18:00Z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b26cf8f2-2842-489d-bb84-ec7394e00d09</vt:lpwstr>
  </property>
</Properties>
</file>