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i7im8hqxyi4" w:id="0"/>
      <w:bookmarkEnd w:id="0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https://sentry.io/organizations/lisk-marketplace/projects/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Inloggen met google account van onze proftaak.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2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 service staat er 1 project.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 het aanmaken van een nieuw project op Sentry de code aanpassen zodat deze gebruik maakt van de Sentry SDK.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Nuget package Sentry.AspNetCore toevoegen aan het project.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Appsettings.json waarbij de DSN de url is die gegeven wordt bij het aanmaken van het Sentry project.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</w:rPr>
      </w:pPr>
      <w:r w:rsidDel="00000000" w:rsidR="00000000" w:rsidRPr="00000000">
        <w:rPr>
          <w:color w:val="aa5500"/>
          <w:rtl w:val="0"/>
        </w:rPr>
        <w:t xml:space="preserve">"Sentry"</w:t>
      </w:r>
      <w:r w:rsidDel="00000000" w:rsidR="00000000" w:rsidRPr="00000000">
        <w:rPr>
          <w:color w:val="ff0000"/>
          <w:shd w:fill="ffaaaa" w:val="clear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b w:val="1"/>
          <w:color w:val="1e90ff"/>
          <w:rtl w:val="0"/>
        </w:rPr>
        <w:t xml:space="preserve">"Dsn"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aa5500"/>
          <w:sz w:val="20"/>
          <w:szCs w:val="20"/>
          <w:rtl w:val="0"/>
        </w:rPr>
        <w:t xml:space="preserve">"https://17399c3f114d44f1a8a0edddbbe3e8f9@o397641.ingest.sentry.io/5253916"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b w:val="1"/>
          <w:color w:val="1e90ff"/>
          <w:rtl w:val="0"/>
        </w:rPr>
        <w:t xml:space="preserve">"IncludeRequestPayload"</w:t>
      </w:r>
      <w:r w:rsidDel="00000000" w:rsidR="00000000" w:rsidRPr="00000000">
        <w:rPr>
          <w:color w:val="333333"/>
          <w:rtl w:val="0"/>
        </w:rPr>
        <w:t xml:space="preserve"> : </w:t>
      </w:r>
      <w:r w:rsidDel="00000000" w:rsidR="00000000" w:rsidRPr="00000000">
        <w:rPr>
          <w:color w:val="0000aa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b w:val="1"/>
          <w:color w:val="1e90ff"/>
          <w:rtl w:val="0"/>
        </w:rPr>
        <w:t xml:space="preserve">"SendDefaultPii"</w:t>
      </w:r>
      <w:r w:rsidDel="00000000" w:rsidR="00000000" w:rsidRPr="00000000">
        <w:rPr>
          <w:color w:val="333333"/>
          <w:rtl w:val="0"/>
        </w:rPr>
        <w:t xml:space="preserve"> : </w:t>
      </w:r>
      <w:r w:rsidDel="00000000" w:rsidR="00000000" w:rsidRPr="00000000">
        <w:rPr>
          <w:color w:val="0000aa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b w:val="1"/>
          <w:color w:val="1e90ff"/>
          <w:rtl w:val="0"/>
        </w:rPr>
        <w:t xml:space="preserve">"MinimumBreadcrumbLevel"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aa5500"/>
          <w:rtl w:val="0"/>
        </w:rPr>
        <w:t xml:space="preserve">"Debug"</w:t>
      </w:r>
      <w:r w:rsidDel="00000000" w:rsidR="00000000" w:rsidRPr="00000000">
        <w:rPr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b w:val="1"/>
          <w:color w:val="1e90ff"/>
          <w:rtl w:val="0"/>
        </w:rPr>
        <w:t xml:space="preserve">"MinimumEventLevel"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aa5500"/>
          <w:rtl w:val="0"/>
        </w:rPr>
        <w:t xml:space="preserve">"Warning"</w:t>
      </w:r>
      <w:r w:rsidDel="00000000" w:rsidR="00000000" w:rsidRPr="00000000">
        <w:rPr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b w:val="1"/>
          <w:color w:val="1e90ff"/>
          <w:rtl w:val="0"/>
        </w:rPr>
        <w:t xml:space="preserve">"AttachStackTrace"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0000aa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b w:val="1"/>
          <w:color w:val="1e90ff"/>
          <w:rtl w:val="0"/>
        </w:rPr>
        <w:t xml:space="preserve">"Debug"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0000aa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b w:val="1"/>
          <w:color w:val="1e90ff"/>
          <w:rtl w:val="0"/>
        </w:rPr>
        <w:t xml:space="preserve">"DiagnosticsLevel"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aa5500"/>
          <w:rtl w:val="0"/>
        </w:rPr>
        <w:t xml:space="preserve">"Error"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65.9090909090909" w:lineRule="auto"/>
        <w:rPr>
          <w:color w:val="ff0000"/>
          <w:shd w:fill="ffaaaa" w:val="clear"/>
        </w:rPr>
      </w:pPr>
      <w:r w:rsidDel="00000000" w:rsidR="00000000" w:rsidRPr="00000000">
        <w:rPr>
          <w:color w:val="333333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UseSentry aan de webBuilder in Program.cs toevoegen.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533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tpzdo8ja1io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tpzdo8ja1ior" w:id="1"/>
      <w:bookmarkEnd w:id="1"/>
      <w:r w:rsidDel="00000000" w:rsidR="00000000" w:rsidRPr="00000000">
        <w:rPr>
          <w:rtl w:val="0"/>
        </w:rPr>
        <w:t xml:space="preserve">Custom exception handler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Om andere/extra data naar Sentry te sturen bij bepaalde exceptions is het mogelijk om dit toe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 voegen.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Nieuwe SentryEventExceptionProcessor aanmaken voor de error die speciale data moet loggen.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Een breadcrumb is een string die wordt meegegeven aan het event en een Tag is een variabel waarop binnen Sentry kan wordt gefilterd etc.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9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 eventprocessor toevoegen voor de custom exception handler.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171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entry.io/organizations/lisk-marketplace/projects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