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kudlegcy76v" w:id="0"/>
      <w:bookmarkEnd w:id="0"/>
      <w:r w:rsidDel="00000000" w:rsidR="00000000" w:rsidRPr="00000000">
        <w:rPr>
          <w:rtl w:val="0"/>
        </w:rPr>
        <w:t xml:space="preserve">SWAGGER.IO TOEVOEGEN AAN JE .NET Core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Installeer de NuGet package genaamt SwashBuckle.AspNetCore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je 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Startup.cs</w:t>
      </w:r>
      <w:r w:rsidDel="00000000" w:rsidR="00000000" w:rsidRPr="00000000">
        <w:rPr>
          <w:rtl w:val="0"/>
        </w:rPr>
        <w:t xml:space="preserve"> en navigeer naar de methode 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ConfigureServices()</w:t>
      </w:r>
      <w:r w:rsidDel="00000000" w:rsidR="00000000" w:rsidRPr="00000000">
        <w:rPr>
          <w:rtl w:val="0"/>
        </w:rPr>
        <w:t xml:space="preserve">. Voeg hier het volgende stukje code toe: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services.AddSwaggerGen(c =&gt;</w:t>
              <w:br w:type="textWrapping"/>
              <w:t xml:space="preserve">            {</w:t>
              <w:br w:type="textWrapping"/>
              <w:t xml:space="preserve">                c.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SwaggerDoc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OpenApiInfo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 {Title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"Values Api"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, Version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});</w:t>
              <w:br w:type="textWrapping"/>
              <w:t xml:space="preserve">        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 voeg je het volgende toe in de 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Configure()</w:t>
      </w:r>
      <w:r w:rsidDel="00000000" w:rsidR="00000000" w:rsidRPr="00000000">
        <w:rPr>
          <w:rtl w:val="0"/>
        </w:rPr>
        <w:t xml:space="preserve"> methode: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        app.UseSwagger();</w:t>
              <w:br w:type="textWrapping"/>
              <w:t xml:space="preserve">        app.UseSwaggerUI(c =&gt;</w:t>
              <w:br w:type="textWrapping"/>
              <w:t xml:space="preserve">        {</w:t>
              <w:br w:type="textWrapping"/>
              <w:t xml:space="preserve">            c.SwaggerEndpoint(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"/swagger/v1/swagger.json"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rtl w:val="0"/>
              </w:rPr>
              <w:t xml:space="preserve">"Authentication &amp; Authorization service"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6"/>
                <w:szCs w:val="16"/>
                <w:rtl w:val="0"/>
              </w:rPr>
              <w:t xml:space="preserve">);</w:t>
              <w:br w:type="textWrapping"/>
              <w:t xml:space="preserve">    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 op! Ik vind het zelf handig om dit stukje in de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met </w:t>
      </w: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env.IsDevelopment()</w:t>
      </w:r>
      <w:r w:rsidDel="00000000" w:rsidR="00000000" w:rsidRPr="00000000">
        <w:rPr>
          <w:rtl w:val="0"/>
        </w:rPr>
        <w:t xml:space="preserve"> te zetten.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de code en ga naar /swagger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line="276" w:lineRule="auto"/>
        <w:rPr/>
      </w:pPr>
      <w:bookmarkStart w:colFirst="0" w:colLast="0" w:name="_iz7iik3kl85t" w:id="1"/>
      <w:bookmarkEnd w:id="1"/>
      <w:r w:rsidDel="00000000" w:rsidR="00000000" w:rsidRPr="00000000">
        <w:rPr>
          <w:rtl w:val="0"/>
        </w:rPr>
        <w:t xml:space="preserve">Optioneel (auth)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Het is mogelijk om authentication/authorization door middel van een JWToken toe te voegen. Dat doe je door het volgende stukje code toe te voegen in de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color w:val="444444"/>
          <w:rtl w:val="0"/>
        </w:rPr>
        <w:t xml:space="preserve">services.AddSwaggerGen(c =&gt;{}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Consolas" w:cs="Consolas" w:eastAsia="Consolas" w:hAnsi="Consolas"/>
          <w:color w:val="44444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               c.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AddSecurityDefinition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"Bearer"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OpenApiSecurityScheme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{</w:t>
        <w:br w:type="textWrapping"/>
        <w:t xml:space="preserve">                    Name = 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"Authorization"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,</w:t>
        <w:br w:type="textWrapping"/>
        <w:t xml:space="preserve">                    Type =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SecuritySchemeType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.ApiKey,</w:t>
        <w:br w:type="textWrapping"/>
        <w:t xml:space="preserve">                    Scheme = 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"Bearer"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,</w:t>
        <w:br w:type="textWrapping"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BearerFormat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"JWT"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,</w:t>
        <w:br w:type="textWrapping"/>
        <w:t xml:space="preserve">                    In =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ParameterLocation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.Header,</w:t>
        <w:br w:type="textWrapping"/>
        <w:t xml:space="preserve">                    Description = 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"JWT Authorization header using the Bearer scheme."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});</w:t>
        <w:br w:type="textWrapping"/>
        <w:br w:type="textWrapping"/>
        <w:t xml:space="preserve">                c.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AddSecurityRequirement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OpenApiSecurityRequirement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{</w:t>
        <w:br w:type="textWrapping"/>
        <w:t xml:space="preserve">                    {</w:t>
        <w:br w:type="textWrapping"/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OpenApiSecurityScheme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        {</w:t>
        <w:br w:type="textWrapping"/>
        <w:t xml:space="preserve">                            Reference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OpenApiReference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            {</w:t>
        <w:br w:type="textWrapping"/>
        <w:t xml:space="preserve">                                Type = 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ReferenceType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SecurityScheme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,</w:t>
        <w:br w:type="textWrapping"/>
        <w:t xml:space="preserve">                                Id = </w:t>
      </w:r>
      <w:r w:rsidDel="00000000" w:rsidR="00000000" w:rsidRPr="00000000">
        <w:rPr>
          <w:rFonts w:ascii="Consolas" w:cs="Consolas" w:eastAsia="Consolas" w:hAnsi="Consolas"/>
          <w:color w:val="880000"/>
          <w:sz w:val="16"/>
          <w:szCs w:val="16"/>
          <w:rtl w:val="0"/>
        </w:rPr>
        <w:t xml:space="preserve">"Bearer"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br w:type="textWrapping"/>
        <w:t xml:space="preserve">                            }</w:t>
        <w:br w:type="textWrapping"/>
        <w:t xml:space="preserve">                        },</w:t>
        <w:br w:type="textWrapping"/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44444"/>
          <w:sz w:val="16"/>
          <w:szCs w:val="16"/>
          <w:rtl w:val="0"/>
        </w:rPr>
        <w:t xml:space="preserve">[] {}</w:t>
        <w:br w:type="textWrapping"/>
        <w:br w:type="textWrapping"/>
        <w:t xml:space="preserve">                    }</w:t>
        <w:br w:type="textWrapping"/>
        <w:t xml:space="preserve">                });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Consolas" w:cs="Consolas" w:eastAsia="Consolas" w:hAnsi="Consolas"/>
          <w:color w:val="44444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Vervolgens selecteer je de volgende knop rechtsboven op de swagger pagina: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 opent het volgende schermpje en vul je “Bearer &lt;token&gt;” in als volgt: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516049" cy="1795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049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