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40"/>
        </w:rPr>
        <w:t>월간 자동심사 현황 리포트</w:t>
      </w:r>
    </w:p>
    <w:p>
      <w:pPr>
        <w:jc w:val="center"/>
      </w:pPr>
      <w:r>
        <w:rPr>
          <w:rFonts w:ascii="Malgun Gothic" w:hAnsi="Malgun Gothic"/>
          <w:b/>
          <w:sz w:val="20"/>
        </w:rPr>
        <w:t>기준월 2025-12 | 비교월 2025-11 | 데이터 확정 여부 확정</w:t>
      </w:r>
    </w:p>
    <w:p>
      <w:pPr>
        <w:jc w:val="center"/>
      </w:pPr>
      <w:r>
        <w:rPr>
          <w:rFonts w:ascii="Malgun Gothic" w:hAnsi="Malgun Gothic"/>
          <w:sz w:val="18"/>
        </w:rPr>
        <w:t>운영관리자가 상위 보고에 바로 쓸 수 있도록 월말 기준 현황을 짧고 일관되게 요약한 문서</w:t>
      </w:r>
    </w:p>
    <w:p>
      <w:r>
        <w:rPr>
          <w:rFonts w:ascii="Malgun Gothic" w:hAnsi="Malgun Gothic"/>
          <w:b/>
          <w:sz w:val="28"/>
        </w:rPr>
        <w:t>1. 요약 영역</w:t>
      </w:r>
    </w:p>
    <w:p>
      <w:r>
        <w:rPr>
          <w:rFonts w:ascii="Malgun Gothic" w:hAnsi="Malgun Gothic"/>
          <w:sz w:val="18"/>
        </w:rPr>
        <w:t>기준월, 비교월, 데이터 확정 여부와 핵심 KPI를 먼저 보여준다.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1FB"/>
          </w:tcPr>
          <w:p>
            <w:r>
              <w:rPr>
                <w:rFonts w:ascii="Malgun Gothic" w:hAnsi="Malgun Gothic"/>
                <w:b/>
              </w:rPr>
              <w:t>항목</w:t>
            </w:r>
          </w:p>
        </w:tc>
        <w:tc>
          <w:tcPr>
            <w:tcW w:type="dxa" w:w="3408"/>
            <w:shd w:fill="EAF1FB"/>
          </w:tcPr>
          <w:p>
            <w:r>
              <w:rPr>
                <w:rFonts w:ascii="Malgun Gothic" w:hAnsi="Malgun Gothic"/>
                <w:b/>
              </w:rPr>
              <w:t>값</w:t>
            </w:r>
          </w:p>
        </w:tc>
        <w:tc>
          <w:tcPr>
            <w:tcW w:type="dxa" w:w="3408"/>
            <w:shd w:fill="EAF1FB"/>
          </w:tcPr>
          <w:p>
            <w:r>
              <w:rPr>
                <w:rFonts w:ascii="Malgun Gothic" w:hAnsi="Malgun Gothic"/>
                <w:b/>
              </w:rPr>
              <w:t>메모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/>
              </w:rPr>
              <w:t>기준월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2025-12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확정월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/>
              </w:rPr>
              <w:t>비교월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2025-11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전월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/>
              </w:rPr>
              <w:t>데이터 확정 여부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확정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공식 기준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/>
              </w:rPr>
              <w:t>자동지급률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63.55%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+0.58pp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/>
              </w:rPr>
              <w:t>처리효율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53.42%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+0.17pp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/>
              </w:rPr>
              <w:t>상태 라벨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안정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안정 / 변화 / 미확정</w:t>
            </w:r>
          </w:p>
        </w:tc>
      </w:tr>
    </w:tbl>
    <w:p>
      <w:r>
        <w:t>2025-12 기준 자동지급률은 63.55%이고 처리효율은 53.42%입니다. 전월 대비 자동지급률은 +0.58pp, 처리효율은 +0.17pp로 집계되었습니다. segment 변화는 일부 있지만 전체 상태는 허용 범위 내로 판단되어 안정 상태로 표시했습니다.</w:t>
      </w:r>
    </w:p>
    <w:p>
      <w:r>
        <w:rPr>
          <w:rFonts w:ascii="Malgun Gothic" w:hAnsi="Malgun Gothic"/>
          <w:b/>
          <w:sz w:val="28"/>
        </w:rPr>
        <w:t>2. 변화 영역</w:t>
      </w:r>
    </w:p>
    <w:p>
      <w:r>
        <w:rPr>
          <w:rFonts w:ascii="Malgun Gothic" w:hAnsi="Malgun Gothic"/>
          <w:sz w:val="18"/>
        </w:rPr>
        <w:t>전월 대비 변화를 숫자와 해석으로 함께 보여준다.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1FB"/>
          </w:tcPr>
          <w:p>
            <w:r>
              <w:rPr>
                <w:rFonts w:ascii="Malgun Gothic" w:hAnsi="Malgun Gothic"/>
                <w:b/>
              </w:rPr>
              <w:t>항목</w:t>
            </w:r>
          </w:p>
        </w:tc>
        <w:tc>
          <w:tcPr>
            <w:tcW w:type="dxa" w:w="2556"/>
            <w:shd w:fill="EAF1FB"/>
          </w:tcPr>
          <w:p>
            <w:r>
              <w:rPr>
                <w:rFonts w:ascii="Malgun Gothic" w:hAnsi="Malgun Gothic"/>
                <w:b/>
              </w:rPr>
              <w:t>당월</w:t>
            </w:r>
          </w:p>
        </w:tc>
        <w:tc>
          <w:tcPr>
            <w:tcW w:type="dxa" w:w="2556"/>
            <w:shd w:fill="EAF1FB"/>
          </w:tcPr>
          <w:p>
            <w:r>
              <w:rPr>
                <w:rFonts w:ascii="Malgun Gothic" w:hAnsi="Malgun Gothic"/>
                <w:b/>
              </w:rPr>
              <w:t>전월</w:t>
            </w:r>
          </w:p>
        </w:tc>
        <w:tc>
          <w:tcPr>
            <w:tcW w:type="dxa" w:w="2556"/>
            <w:shd w:fill="EAF1FB"/>
          </w:tcPr>
          <w:p>
            <w:r>
              <w:rPr>
                <w:rFonts w:ascii="Malgun Gothic" w:hAnsi="Malgun Gothic"/>
                <w:b/>
              </w:rPr>
              <w:t>변화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/>
              </w:rPr>
              <w:t>자동지급률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63.55%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62.97%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+0.58pp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/>
              </w:rPr>
              <w:t>처리효율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53.42%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53.25%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+0.17pp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/>
              </w:rPr>
              <w:t>자동지급 건수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1,107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1,046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61</w:t>
            </w:r>
          </w:p>
        </w:tc>
      </w:tr>
    </w:tbl>
    <w:p>
      <w:r>
        <w:rPr>
          <w:rFonts w:ascii="Malgun Gothic" w:hAnsi="Malgun Gothic"/>
          <w:b/>
          <w:sz w:val="28"/>
        </w:rPr>
        <w:t>3. segment 영역</w:t>
      </w:r>
    </w:p>
    <w:p>
      <w:r>
        <w:rPr>
          <w:rFonts w:ascii="Malgun Gothic" w:hAnsi="Malgun Gothic"/>
          <w:sz w:val="18"/>
        </w:rPr>
        <w:t>변경 전/후와 사유를 같이 보여준다.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AF1FB"/>
          </w:tcPr>
          <w:p>
            <w:r>
              <w:rPr>
                <w:rFonts w:ascii="Malgun Gothic" w:hAnsi="Malgun Gothic"/>
                <w:b/>
              </w:rPr>
              <w:t>변경 전 segment</w:t>
            </w:r>
          </w:p>
        </w:tc>
        <w:tc>
          <w:tcPr>
            <w:tcW w:type="dxa" w:w="2045"/>
            <w:shd w:fill="EAF1FB"/>
          </w:tcPr>
          <w:p>
            <w:r>
              <w:rPr>
                <w:rFonts w:ascii="Malgun Gothic" w:hAnsi="Malgun Gothic"/>
                <w:b/>
              </w:rPr>
              <w:t>변경 후 segment</w:t>
            </w:r>
          </w:p>
        </w:tc>
        <w:tc>
          <w:tcPr>
            <w:tcW w:type="dxa" w:w="2045"/>
            <w:shd w:fill="EAF1FB"/>
          </w:tcPr>
          <w:p>
            <w:r>
              <w:rPr>
                <w:rFonts w:ascii="Malgun Gothic" w:hAnsi="Malgun Gothic"/>
                <w:b/>
              </w:rPr>
              <w:t>건수</w:t>
            </w:r>
          </w:p>
        </w:tc>
        <w:tc>
          <w:tcPr>
            <w:tcW w:type="dxa" w:w="2045"/>
            <w:shd w:fill="EAF1FB"/>
          </w:tcPr>
          <w:p>
            <w:r>
              <w:rPr>
                <w:rFonts w:ascii="Malgun Gothic" w:hAnsi="Malgun Gothic"/>
                <w:b/>
              </w:rPr>
              <w:t>비중</w:t>
            </w:r>
          </w:p>
        </w:tc>
        <w:tc>
          <w:tcPr>
            <w:tcW w:type="dxa" w:w="2045"/>
            <w:shd w:fill="EAF1FB"/>
          </w:tcPr>
          <w:p>
            <w:r>
              <w:rPr>
                <w:rFonts w:ascii="Malgun Gothic" w:hAnsi="Malgun Gothic"/>
                <w:b/>
              </w:rPr>
              <w:t>변화 사유</w:t>
            </w:r>
          </w:p>
        </w:tc>
      </w:tr>
      <w:tr>
        <w:tc>
          <w:tcPr>
            <w:tcW w:type="dxa" w:w="2045"/>
          </w:tcPr>
          <w:p>
            <w:r>
              <w:rPr>
                <w:rFonts w:ascii="Malgun Gothic" w:hAnsi="Malgun Gothic"/>
              </w:rPr>
              <w:t>SEG-B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SEG-A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78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4.6%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청구특성 변화에 따라 세그먼트 조정</w:t>
            </w:r>
          </w:p>
        </w:tc>
      </w:tr>
      <w:tr>
        <w:tc>
          <w:tcPr>
            <w:tcW w:type="dxa" w:w="2045"/>
          </w:tcPr>
          <w:p>
            <w:r>
              <w:rPr>
                <w:rFonts w:ascii="Malgun Gothic" w:hAnsi="Malgun Gothic"/>
              </w:rPr>
              <w:t>SEG-D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SEG-A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61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3.6%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청구특성 변화에 따라 세그먼트 조정</w:t>
            </w:r>
          </w:p>
        </w:tc>
      </w:tr>
      <w:tr>
        <w:tc>
          <w:tcPr>
            <w:tcW w:type="dxa" w:w="2045"/>
          </w:tcPr>
          <w:p>
            <w:r>
              <w:rPr>
                <w:rFonts w:ascii="Malgun Gothic" w:hAnsi="Malgun Gothic"/>
              </w:rPr>
              <w:t>SEG-C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SEG-A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59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3.5%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청구특성 변화에 따라 세그먼트 조정</w:t>
            </w:r>
          </w:p>
        </w:tc>
      </w:tr>
      <w:tr>
        <w:tc>
          <w:tcPr>
            <w:tcW w:type="dxa" w:w="2045"/>
          </w:tcPr>
          <w:p>
            <w:r>
              <w:rPr>
                <w:rFonts w:ascii="Malgun Gothic" w:hAnsi="Malgun Gothic"/>
              </w:rPr>
              <w:t>SEG-A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SEG-B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41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2.4%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청구특성 변화에 따라 세그먼트 조정</w:t>
            </w:r>
          </w:p>
        </w:tc>
      </w:tr>
      <w:tr>
        <w:tc>
          <w:tcPr>
            <w:tcW w:type="dxa" w:w="2045"/>
          </w:tcPr>
          <w:p>
            <w:r>
              <w:rPr>
                <w:rFonts w:ascii="Malgun Gothic" w:hAnsi="Malgun Gothic"/>
              </w:rPr>
              <w:t>SEG-A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SEG-C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37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2.2%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표준 심사 세그먼트 조정</w:t>
            </w:r>
          </w:p>
        </w:tc>
      </w:tr>
    </w:tbl>
    <w:p>
      <w:r>
        <w:rPr>
          <w:rFonts w:ascii="Malgun Gothic" w:hAnsi="Malgun Gothic"/>
          <w:b/>
          <w:sz w:val="28"/>
        </w:rPr>
        <w:t>4. 자동지급 현황 개요</w:t>
      </w:r>
    </w:p>
    <w:p>
      <w:r>
        <w:rPr>
          <w:rFonts w:ascii="Malgun Gothic" w:hAnsi="Malgun Gothic"/>
          <w:sz w:val="18"/>
        </w:rPr>
        <w:t>자동지급률과 접수채널/진료구분별 비율을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B"/>
          </w:tcPr>
          <w:p>
            <w:r>
              <w:rPr>
                <w:rFonts w:ascii="Malgun Gothic" w:hAnsi="Malgun Gothic"/>
                <w:b/>
              </w:rPr>
              <w:t>요약 지표</w:t>
            </w:r>
          </w:p>
        </w:tc>
        <w:tc>
          <w:tcPr>
            <w:tcW w:type="dxa" w:w="5112"/>
            <w:shd w:fill="EAF1FB"/>
          </w:tcPr>
          <w:p>
            <w:r>
              <w:rPr>
                <w:rFonts w:ascii="Malgun Gothic" w:hAnsi="Malgun Gothic"/>
                <w:b/>
              </w:rPr>
              <w:t>값</w:t>
            </w:r>
          </w:p>
        </w:tc>
      </w:tr>
      <w:tr>
        <w:tc>
          <w:tcPr>
            <w:tcW w:type="dxa" w:w="5112"/>
          </w:tcPr>
          <w:p>
            <w:r>
              <w:rPr>
                <w:rFonts w:ascii="Malgun Gothic" w:hAnsi="Malgun Gothic"/>
              </w:rPr>
              <w:t>총 청구건수</w:t>
            </w:r>
          </w:p>
        </w:tc>
        <w:tc>
          <w:tcPr>
            <w:tcW w:type="dxa" w:w="5112"/>
          </w:tcPr>
          <w:p>
            <w:r>
              <w:rPr>
                <w:rFonts w:ascii="Malgun Gothic" w:hAnsi="Malgun Gothic"/>
              </w:rPr>
              <w:t>1,742</w:t>
            </w:r>
          </w:p>
        </w:tc>
      </w:tr>
      <w:tr>
        <w:tc>
          <w:tcPr>
            <w:tcW w:type="dxa" w:w="5112"/>
          </w:tcPr>
          <w:p>
            <w:r>
              <w:rPr>
                <w:rFonts w:ascii="Malgun Gothic" w:hAnsi="Malgun Gothic"/>
              </w:rPr>
              <w:t>자동지급 대상건수</w:t>
            </w:r>
          </w:p>
        </w:tc>
        <w:tc>
          <w:tcPr>
            <w:tcW w:type="dxa" w:w="5112"/>
          </w:tcPr>
          <w:p>
            <w:r>
              <w:rPr>
                <w:rFonts w:ascii="Malgun Gothic" w:hAnsi="Malgun Gothic"/>
              </w:rPr>
              <w:t>1,517</w:t>
            </w:r>
          </w:p>
        </w:tc>
      </w:tr>
      <w:tr>
        <w:tc>
          <w:tcPr>
            <w:tcW w:type="dxa" w:w="5112"/>
          </w:tcPr>
          <w:p>
            <w:r>
              <w:rPr>
                <w:rFonts w:ascii="Malgun Gothic" w:hAnsi="Malgun Gothic"/>
              </w:rPr>
              <w:t>자동지급 건수</w:t>
            </w:r>
          </w:p>
        </w:tc>
        <w:tc>
          <w:tcPr>
            <w:tcW w:type="dxa" w:w="5112"/>
          </w:tcPr>
          <w:p>
            <w:r>
              <w:rPr>
                <w:rFonts w:ascii="Malgun Gothic" w:hAnsi="Malgun Gothic"/>
              </w:rPr>
              <w:t>1,107</w:t>
            </w:r>
          </w:p>
        </w:tc>
      </w:tr>
      <w:tr>
        <w:tc>
          <w:tcPr>
            <w:tcW w:type="dxa" w:w="5112"/>
          </w:tcPr>
          <w:p>
            <w:r>
              <w:rPr>
                <w:rFonts w:ascii="Malgun Gothic" w:hAnsi="Malgun Gothic"/>
              </w:rPr>
              <w:t>제외/인심사 건수</w:t>
            </w:r>
          </w:p>
        </w:tc>
        <w:tc>
          <w:tcPr>
            <w:tcW w:type="dxa" w:w="5112"/>
          </w:tcPr>
          <w:p>
            <w:r>
              <w:rPr>
                <w:rFonts w:ascii="Malgun Gothic" w:hAnsi="Malgun Gothic"/>
              </w:rPr>
              <w:t>635</w:t>
            </w:r>
          </w:p>
        </w:tc>
      </w:tr>
    </w:tbl>
    <w:p>
      <w:r>
        <w:t>접수채널별 비율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1FB"/>
          </w:tcPr>
          <w:p>
            <w:r>
              <w:rPr>
                <w:rFonts w:ascii="Malgun Gothic" w:hAnsi="Malgun Gothic"/>
                <w:b/>
              </w:rPr>
              <w:t>접수채널</w:t>
            </w:r>
          </w:p>
        </w:tc>
        <w:tc>
          <w:tcPr>
            <w:tcW w:type="dxa" w:w="2556"/>
            <w:shd w:fill="EAF1FB"/>
          </w:tcPr>
          <w:p>
            <w:r>
              <w:rPr>
                <w:rFonts w:ascii="Malgun Gothic" w:hAnsi="Malgun Gothic"/>
                <w:b/>
              </w:rPr>
              <w:t>전체 청구건수</w:t>
            </w:r>
          </w:p>
        </w:tc>
        <w:tc>
          <w:tcPr>
            <w:tcW w:type="dxa" w:w="2556"/>
            <w:shd w:fill="EAF1FB"/>
          </w:tcPr>
          <w:p>
            <w:r>
              <w:rPr>
                <w:rFonts w:ascii="Malgun Gothic" w:hAnsi="Malgun Gothic"/>
                <w:b/>
              </w:rPr>
              <w:t>자동지급건수</w:t>
            </w:r>
          </w:p>
        </w:tc>
        <w:tc>
          <w:tcPr>
            <w:tcW w:type="dxa" w:w="2556"/>
            <w:shd w:fill="EAF1FB"/>
          </w:tcPr>
          <w:p>
            <w:r>
              <w:rPr>
                <w:rFonts w:ascii="Malgun Gothic" w:hAnsi="Malgun Gothic"/>
                <w:b/>
              </w:rPr>
              <w:t>자동지급 비율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/>
              </w:rPr>
              <w:t>대면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1,105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813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73.6%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/>
              </w:rPr>
              <w:t>비대면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470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136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28.9%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/>
              </w:rPr>
              <w:t>실손24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136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136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100.0%</w:t>
            </w:r>
          </w:p>
        </w:tc>
      </w:tr>
    </w:tbl>
    <w:p>
      <w:r>
        <w:t>진료구분별 비율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1FB"/>
          </w:tcPr>
          <w:p>
            <w:r>
              <w:rPr>
                <w:rFonts w:ascii="Malgun Gothic" w:hAnsi="Malgun Gothic"/>
                <w:b/>
              </w:rPr>
              <w:t>진료구분</w:t>
            </w:r>
          </w:p>
        </w:tc>
        <w:tc>
          <w:tcPr>
            <w:tcW w:type="dxa" w:w="3408"/>
            <w:shd w:fill="EAF1FB"/>
          </w:tcPr>
          <w:p>
            <w:r>
              <w:rPr>
                <w:rFonts w:ascii="Malgun Gothic" w:hAnsi="Malgun Gothic"/>
                <w:b/>
              </w:rPr>
              <w:t>자동지급건수</w:t>
            </w:r>
          </w:p>
        </w:tc>
        <w:tc>
          <w:tcPr>
            <w:tcW w:type="dxa" w:w="3408"/>
            <w:shd w:fill="EAF1FB"/>
          </w:tcPr>
          <w:p>
            <w:r>
              <w:rPr>
                <w:rFonts w:ascii="Malgun Gothic" w:hAnsi="Malgun Gothic"/>
                <w:b/>
              </w:rPr>
              <w:t>비율(자동지급 건 중)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/>
              </w:rPr>
              <w:t>통원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814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75.0%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/>
              </w:rPr>
              <w:t>입원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271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25.0%</w:t>
            </w:r>
          </w:p>
        </w:tc>
      </w:tr>
    </w:tbl>
    <w:p>
      <w:r>
        <w:rPr>
          <w:rFonts w:ascii="Malgun Gothic" w:hAnsi="Malgun Gothic"/>
          <w:b/>
          <w:sz w:val="28"/>
        </w:rPr>
        <w:t>5. 자동지급 유형 분석</w:t>
      </w:r>
    </w:p>
    <w:p>
      <w:r>
        <w:rPr>
          <w:rFonts w:ascii="Malgun Gothic" w:hAnsi="Malgun Gothic"/>
          <w:sz w:val="18"/>
        </w:rPr>
        <w:t>상위 5개 유형과 전월 대비 증감을 함께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순위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유형코드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유형명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당월 건수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비중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전월 건수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증감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1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A02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입원 제증명료 단순건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136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12.5%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133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3 (+2.3%)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2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A04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실손24 소액건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136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12.5%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133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3 (+2.3%)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3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A05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검증된 반복 통원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136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12.5%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133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3 (+2.3%)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A03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통원 급여전용건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136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12.5%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133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3 (+2.3%)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5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A01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비대면 소액 통원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136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12.5%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134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2 (+1.5%)</w:t>
            </w:r>
          </w:p>
        </w:tc>
      </w:tr>
    </w:tbl>
    <w:p>
      <w:r>
        <w:rPr>
          <w:rFonts w:ascii="Malgun Gothic" w:hAnsi="Malgun Gothic"/>
          <w:b/>
          <w:sz w:val="28"/>
        </w:rPr>
        <w:t>6. 자동지급 제외유형 분석</w:t>
      </w:r>
    </w:p>
    <w:p>
      <w:r>
        <w:rPr>
          <w:rFonts w:ascii="Malgun Gothic" w:hAnsi="Malgun Gothic"/>
          <w:sz w:val="18"/>
        </w:rPr>
        <w:t>제외유형별 비율과 전월 대비 증감을 함께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순위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제외코드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제외유형명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당월 건수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비중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전월 건수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증감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1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E02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비급여 주사료 고액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7.9%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0 (+0.0%)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2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E04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타사 실손 보유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7.9%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0 (+0.0%)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3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E03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면책·분쟁 KCD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7.9%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0 (+0.0%)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E01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부담보 계약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7.9%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0 (+0.0%)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5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E07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비급여 과다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7.9%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0 (+0.0%)</w:t>
            </w:r>
          </w:p>
        </w:tc>
      </w:tr>
    </w:tbl>
    <w:p>
      <w:r>
        <w:rPr>
          <w:rFonts w:ascii="Malgun Gothic" w:hAnsi="Malgun Gothic"/>
          <w:b/>
          <w:sz w:val="28"/>
        </w:rPr>
        <w:t>7. 운영 해석 영역</w:t>
      </w:r>
    </w:p>
    <w:p>
      <w:r>
        <w:rPr>
          <w:rFonts w:ascii="Malgun Gothic" w:hAnsi="Malgun Gothic"/>
          <w:sz w:val="18"/>
        </w:rPr>
        <w:t>이번 달을 안정/변화로 본 이유를 짧게 적는다.</w:t>
      </w:r>
    </w:p>
    <w:p>
      <w:pPr>
        <w:pStyle w:val="ListBullet"/>
      </w:pPr>
      <w:r>
        <w:rPr>
          <w:rFonts w:ascii="Malgun Gothic" w:hAnsi="Malgun Gothic"/>
        </w:rPr>
        <w:t>2025-12 기준 자동지급률은 63.55%이고 처리효율은 53.42%입니다.</w:t>
      </w:r>
    </w:p>
    <w:p>
      <w:pPr>
        <w:pStyle w:val="ListBullet"/>
      </w:pPr>
      <w:r>
        <w:rPr>
          <w:rFonts w:ascii="Malgun Gothic" w:hAnsi="Malgun Gothic"/>
        </w:rPr>
        <w:t>전월 대비 자동지급률은 +0.58pp, 처리효율은 +0.17pp로 집계되었습니다.</w:t>
      </w:r>
    </w:p>
    <w:p>
      <w:pPr>
        <w:pStyle w:val="ListBullet"/>
      </w:pPr>
      <w:r>
        <w:rPr>
          <w:rFonts w:ascii="Malgun Gothic" w:hAnsi="Malgun Gothic"/>
        </w:rPr>
        <w:t>segment 변화는 일부 있지만 전체 상태는 허용 범위 내로 판단되어 안정 상태로 표시했습니다.</w:t>
      </w:r>
    </w:p>
    <w:p>
      <w:pPr>
        <w:pStyle w:val="ListBullet"/>
      </w:pPr>
      <w:r>
        <w:rPr>
          <w:rFonts w:ascii="Malgun Gothic" w:hAnsi="Malgun Gothic"/>
        </w:rPr>
        <w:t>주요 segment 변화는 SEG-B → SEG-A 이동이며 78건(4.6%)입니다.</w:t>
      </w:r>
    </w:p>
    <w:p>
      <w:r>
        <w:rPr>
          <w:rFonts w:ascii="Malgun Gothic" w:hAnsi="Malgun Gothic"/>
          <w:b/>
          <w:sz w:val="28"/>
        </w:rPr>
        <w:t>8. 다음 조치 영역</w:t>
      </w:r>
    </w:p>
    <w:p>
      <w:r>
        <w:rPr>
          <w:rFonts w:ascii="Malgun Gothic" w:hAnsi="Malgun Gothic"/>
          <w:sz w:val="18"/>
        </w:rPr>
        <w:t>운영자가 추가로 확인해야 할 점을 짧게 적는다.</w:t>
      </w:r>
    </w:p>
    <w:p>
      <w:pPr>
        <w:pStyle w:val="ListBullet"/>
      </w:pPr>
      <w:r>
        <w:rPr>
          <w:rFonts w:ascii="Malgun Gothic" w:hAnsi="Malgun Gothic"/>
        </w:rPr>
        <w:t>전월 대비 자동지급률 상승을 주도한 유형의 분포를 재확인한다.</w:t>
      </w:r>
    </w:p>
    <w:p>
      <w:pPr>
        <w:pStyle w:val="ListBullet"/>
      </w:pPr>
      <w:r>
        <w:rPr>
          <w:rFonts w:ascii="Malgun Gothic" w:hAnsi="Malgun Gothic"/>
        </w:rPr>
        <w:t>segment 변경 사유가 `원인 확인 필요`로 남은 건은 운영관리자가 추가 확인한다.</w:t>
      </w:r>
    </w:p>
    <w:p>
      <w:pPr>
        <w:pStyle w:val="ListBullet"/>
      </w:pPr>
      <w:r>
        <w:rPr>
          <w:rFonts w:ascii="Malgun Gothic" w:hAnsi="Malgun Gothic"/>
        </w:rPr>
        <w:t>인심사 건수와 제외 건수가 늘어난 채널은 별도 모니터링 대상으로 둔다.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