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바탕체" w:hAnsi="바탕체" w:eastAsia="바탕체"/>
          <w:b/>
          <w:color w:val="000000"/>
          <w:sz w:val="48"/>
          <w:u w:val="single"/>
        </w:rPr>
        <w:t>자동지급 현황 월간 보고</w:t>
      </w:r>
    </w:p>
    <w:p>
      <w:pPr>
        <w:jc w:val="right"/>
      </w:pPr>
      <w:r>
        <w:rPr>
          <w:rFonts w:ascii="바탕체" w:hAnsi="바탕체" w:eastAsia="바탕체"/>
          <w:b w:val="0"/>
          <w:color w:val="000000"/>
          <w:sz w:val="24"/>
        </w:rPr>
        <w:t>'25.12月</w:t>
      </w:r>
    </w:p>
    <w:p>
      <w:pPr>
        <w:jc w:val="right"/>
      </w:pPr>
      <w:r>
        <w:rPr>
          <w:rFonts w:ascii="바탕체" w:hAnsi="바탕체" w:eastAsia="바탕체"/>
          <w:b w:val="0"/>
          <w:color w:val="000000"/>
          <w:sz w:val="24"/>
        </w:rPr>
        <w:t>보험금심사팀</w:t>
      </w:r>
    </w:p>
    <w:p>
      <w:r>
        <w:rPr>
          <w:rFonts w:ascii="바탕체" w:hAnsi="바탕체" w:eastAsia="바탕체"/>
          <w:b/>
          <w:color w:val="000000"/>
          <w:sz w:val="24"/>
        </w:rPr>
        <w:t xml:space="preserve">1. </w:t>
      </w:r>
      <w:r>
        <w:rPr>
          <w:rFonts w:ascii="바탕체" w:hAnsi="바탕체" w:eastAsia="바탕체"/>
          <w:b/>
          <w:color w:val="000000"/>
          <w:sz w:val="24"/>
        </w:rPr>
        <w:t>요 약</w:t>
      </w:r>
    </w:p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전체 처리현황</w:t>
      </w:r>
    </w:p>
    <w:p>
      <w:pPr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>- 기 간: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'25.12.1</w:t>
      </w:r>
      <w:r>
        <w:rPr>
          <w:rFonts w:ascii="바탕체" w:hAnsi="바탕체" w:eastAsia="바탕체"/>
          <w:b w:val="0"/>
          <w:color w:val="000000"/>
          <w:sz w:val="24"/>
        </w:rPr>
        <w:t xml:space="preserve"> ~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'25.12.31</w:t>
      </w:r>
      <w:r>
        <w:rPr>
          <w:rFonts w:ascii="바탕체" w:hAnsi="바탕체" w:eastAsia="바탕체"/>
          <w:b w:val="0"/>
          <w:color w:val="000000"/>
          <w:sz w:val="24"/>
        </w:rPr>
        <w:t xml:space="preserve"> (1개월)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2025-12 기준 자동지급률은 63.55%이고 처리효율은 53.42%입니다.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segment 변화는 일부 있지만 전체 상태는 허용 범위 내로 판단되어 안정 상태로 표시했습니다.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항목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당월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총 청구건수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1,742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81 (+4.9%)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 대상건수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1,517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72 (+5.0%)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 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1,107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61 (+5.8%)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제외/인심사 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635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20 (+3.2%)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자동지급률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63.55%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+0.58pp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처리효율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53.42%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+0.17pp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운영상태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안정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유지</w:t>
            </w:r>
          </w:p>
        </w:tc>
      </w:tr>
    </w:tbl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접수채널별 처리현황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접수채널 중 실손24 채널의 자동지급 비율이 가장 높고, 해당 채널의 전환 흐름이 전체 처리현황을 주도합니다.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접수채널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전체 청구건수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자동지급건수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 비율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대면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1,105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813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73.6%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+2.0pp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비대면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470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136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28.9%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-1.6pp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실손24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136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136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100.0%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+0.0pp</w:t>
            </w:r>
          </w:p>
        </w:tc>
      </w:tr>
    </w:tbl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진료구분별 처리현황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진료구분 중 통원이 자동지급 건의 중심이며 비중은 75.0%입니다.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진료구분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자동지급건수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비율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통원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814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75.0%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+0.0pp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입원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271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25.0%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+0.0pp</w:t>
            </w:r>
          </w:p>
        </w:tc>
      </w:tr>
    </w:tbl>
    <w:p>
      <w:r>
        <w:rPr>
          <w:rFonts w:ascii="바탕체" w:hAnsi="바탕체" w:eastAsia="바탕체"/>
          <w:b/>
          <w:color w:val="000000"/>
          <w:sz w:val="24"/>
        </w:rPr>
        <w:t xml:space="preserve">2. </w:t>
      </w:r>
      <w:r>
        <w:rPr>
          <w:rFonts w:ascii="바탕체" w:hAnsi="바탕체" w:eastAsia="바탕체"/>
          <w:b/>
          <w:color w:val="000000"/>
          <w:sz w:val="24"/>
        </w:rPr>
        <w:t>유형별 상세 현황</w:t>
      </w:r>
    </w:p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자동지급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유형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상위 자동지급 유형은 입원 제증명료 단순건(A02)이며 전월 대비 3 (+2.3%)입니다.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순위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코드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유형명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비중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당월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전월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증감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A02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입원 제증명료 단순건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12.5%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136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 (+2.3%)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A04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실손24 소액건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12.5%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136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 (+2.3%)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A05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검증된 반복 통원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12.5%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136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 (+2.3%)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A03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통원 급여전용건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12.5%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136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 (+2.3%)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A01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비대면 소액 통원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12.5%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136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 (+1.5%)</w:t>
            </w:r>
          </w:p>
        </w:tc>
      </w:tr>
    </w:tbl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자동지급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제외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유형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>- 자동지급 불가한 조건에 해당하여 인심사 배분되는 유형 중 전월대비 삭감/부지급 비율이 5%이상 낮아진 건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상위 제외 유형은 비급여 주사료 고액(E02)이며 전월 대비 0 (+0.0%)입니다.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순위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코드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유형명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비중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당월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전월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증감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E02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비급여 주사료 고액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7.9%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0 (+0.0%)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E04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타사 실손 보유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7.9%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0 (+0.0%)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E03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면책·분쟁 KCD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7.9%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0 (+0.0%)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E01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부담보 계약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7.9%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0 (+0.0%)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E07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비급여 과다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7.9%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0 (+0.0%)</w:t>
            </w:r>
          </w:p>
        </w:tc>
      </w:tr>
    </w:tbl>
    <w:p>
      <w:r>
        <w:rPr>
          <w:rFonts w:ascii="바탕체" w:hAnsi="바탕체" w:eastAsia="바탕체"/>
          <w:b/>
          <w:color w:val="000000"/>
          <w:sz w:val="24"/>
        </w:rPr>
        <w:t xml:space="preserve">3. </w:t>
      </w:r>
      <w:r>
        <w:rPr>
          <w:rFonts w:ascii="바탕체" w:hAnsi="바탕체" w:eastAsia="바탕체"/>
          <w:b/>
          <w:color w:val="000000"/>
          <w:sz w:val="24"/>
        </w:rPr>
        <w:t>Action Item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전월 대비 자동지급률 상승을 주도한 유형의 분포를 재확인한다.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segment 변경 사유가 `원인 확인 필요`로 남은 건은 운영관리자가 추가 확인한다.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인심사 건수와 제외 건수가 늘어난 채널은 별도 모니터링 대상으로 둔다.</w:t>
      </w:r>
    </w:p>
    <w:sectPr w:rsidR="00FC693F" w:rsidRPr="0006063C" w:rsidSect="00034616"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바탕체" w:hAnsi="바탕체" w:eastAsia="바탕체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바탕체" w:hAnsi="바탕체" w:eastAsia="바탕체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바탕체" w:hAnsi="바탕체" w:eastAsia="바탕체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바탕체" w:hAnsi="바탕체" w:eastAsia="바탕체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