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'25.01月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'25.01.1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'25.01.31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2025-01 기준 자동지급률은 25.52%이고 처리효율은 58.00%입니다.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이번 월은 청구 특성 또는 비율 변화가 커서 운영 해석을 함께 확인할 필요가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1,724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0 (+0.0%)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1,000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0 (+0.0%)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440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0 (+0.0%)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1,284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0 (+0.0%)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25.52%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+0.00pp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58.00%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+0.00pp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미확정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565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180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31.9%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11.6%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84.0%입니다.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216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84.0%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15.9%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31.9%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전월 대비 비교할 충분한 데이터가 없어 확인 필요입니다.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전월 대비 비교할 충분한 데이터가 없어 확인 필요입니다.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3.6%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전월 대비 비교할 충분한 데이터가 없어 확인 필요입니다.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F32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0.0%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미계산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전월 대비 비교할 충분한 데이터가 없어 확인 필요입니다.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급여 단순건(A06)이며 전월 대비 59 (신규)입니다.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23.0%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59 (신규)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18.3%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47 (신규)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 (신규)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 (신규)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A08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종합병원 입원 저비급여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21 (신규)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55 (신규)입니다.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55 (신규)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27 (신규)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E09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유의병원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26 (신규)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 (신규)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E08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단기 다발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 (신규)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