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'25.03月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'25.03.1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'25.03.31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2025-03 기준 자동지급률은 26.38%이고 처리효율은 59.42%입니다.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1,979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 (-0.1%)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1,176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 (-0.5%)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522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-17 (-3.1%)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1,457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 (+1.1%)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26.38%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-0.84pp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59.42%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-0.28pp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517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28.4%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-6.9pp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85.0%입니다.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+1.1pp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-1.1pp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35.3% → 28.4%로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40.7%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-3.6pp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40.7% → 37.1%로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45.2%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45.2% → 43.1%로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J20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62.5%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48.4%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-14.1pp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J20의 자동지급률이 62.5% → 48.4%로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실손24 소액건(A04)이며 전월 대비 28 (+59.6%)입니다.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 (+59.6%)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(-12.8%)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-12 (-24.0%)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-12 (-24.5%)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-14 (-37.8%)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5 (+15.2%)입니다.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(+15.2%)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(+20.0%)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(+31.8%)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-14 (-34.1%)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