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'25.10月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'25.10.1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'25.10.31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2025-10 기준 자동지급률은 31.40%이고 처리효율은 59.82%입니다.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청구 특성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1,710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-187 (-9.9%)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1,023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-100 (-8.9%)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537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-23 (-4.1%)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1,173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-164 (-12.3%)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31.40%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+1.88pp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59.82%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+0.62pp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552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221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+4.7pp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407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14.2%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-1.0pp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84.4%입니다.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270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84.4%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+1.0pp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15.6%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-1.0pp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35.3%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+4.7pp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대면의 자동지급률이 35.3% → 40.0%로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40.6%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46.9%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+6.3pp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통원의 자동지급률이 40.6% → 46.9%로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47.9%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50.4%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+2.5pp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의원의 자동지급률이 47.9% → 50.4%로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N39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13.7%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25.4%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+11.7pp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N39의 자동지급률이 13.7% → 25.4%로 상승했습니다.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급여 단순건(A06)이며 전월 대비 19 (+39.6%)입니다.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20.9%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19 (+39.6%)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18.1%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-7 (-10.8%)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 (+23.8%)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 (-2.4%)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-2 (-5.1%)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-5 (-9.8%)입니다.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15.9%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-5 (-9.8%)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E05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현장조사 이력 고객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 (+7.7%)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부담보 계약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 (+73.3%)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 (-3.7%)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E08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단기 다발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 (+38.9%)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