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바탕체" w:hAnsi="바탕체" w:eastAsia="바탕체"/>
          <w:b/>
          <w:color w:val="000000"/>
          <w:sz w:val="48"/>
          <w:u w:val="single"/>
        </w:rPr>
        <w:t>자동지급 현황 월간 보고</w:t>
      </w:r>
    </w:p>
    <w:p>
      <w:pPr>
        <w:jc w:val="right"/>
      </w:pPr>
      <w:r>
        <w:rPr>
          <w:rFonts w:ascii="바탕체" w:hAnsi="바탕체" w:eastAsia="바탕체"/>
          <w:b w:val="0"/>
          <w:color w:val="000000"/>
          <w:sz w:val="24"/>
        </w:rPr>
        <w:t>'26.02月</w:t>
      </w:r>
    </w:p>
    <w:p>
      <w:pPr>
        <w:jc w:val="right"/>
      </w:pPr>
      <w:r>
        <w:rPr>
          <w:rFonts w:ascii="바탕체" w:hAnsi="바탕체" w:eastAsia="바탕체"/>
          <w:b w:val="0"/>
          <w:color w:val="000000"/>
          <w:sz w:val="24"/>
        </w:rPr>
        <w:t>보험금심사팀</w:t>
      </w:r>
    </w:p>
    <w:p>
      <w:r>
        <w:rPr>
          <w:rFonts w:ascii="바탕체" w:hAnsi="바탕체" w:eastAsia="바탕체"/>
          <w:b/>
          <w:color w:val="000000"/>
          <w:sz w:val="24"/>
        </w:rPr>
        <w:t xml:space="preserve">1. </w:t>
      </w:r>
      <w:r>
        <w:rPr>
          <w:rFonts w:ascii="바탕체" w:hAnsi="바탕체" w:eastAsia="바탕체"/>
          <w:b/>
          <w:color w:val="000000"/>
          <w:sz w:val="24"/>
        </w:rPr>
        <w:t>요 약</w:t>
      </w:r>
    </w:p>
    <w:p>
      <w:r>
        <w:rPr>
          <w:rFonts w:ascii="Segoe UI Symbol" w:hAnsi="Segoe UI Symbol" w:eastAsia="Segoe UI Symbol"/>
          <w:b w:val="0"/>
          <w:color w:val="000000"/>
          <w:sz w:val="24"/>
        </w:rPr>
        <w:t>☐</w:t>
      </w:r>
      <w:r>
        <w:rPr>
          <w:rFonts w:ascii="바탕체" w:hAnsi="바탕체" w:eastAsia="바탕체"/>
          <w:b w:val="0"/>
          <w:color w:val="000000"/>
          <w:sz w:val="24"/>
        </w:rPr>
        <w:t xml:space="preserve"> </w:t>
      </w:r>
      <w:r>
        <w:rPr>
          <w:rFonts w:ascii="바탕체" w:hAnsi="바탕체" w:eastAsia="바탕체"/>
          <w:b w:val="0"/>
          <w:color w:val="000000"/>
          <w:sz w:val="24"/>
        </w:rPr>
        <w:t>전체 처리현황</w:t>
      </w:r>
    </w:p>
    <w:p>
      <w:pPr>
        <w:ind w:firstLine="240"/>
      </w:pPr>
      <w:r>
        <w:rPr>
          <w:rFonts w:ascii="바탕체" w:hAnsi="바탕체" w:eastAsia="바탕체"/>
          <w:b w:val="0"/>
          <w:color w:val="000000"/>
          <w:sz w:val="24"/>
        </w:rPr>
        <w:t>- 기 간:</w:t>
      </w:r>
      <w:r>
        <w:rPr>
          <w:rFonts w:ascii="바탕체" w:hAnsi="바탕체" w:eastAsia="바탕체"/>
          <w:b w:val="0"/>
          <w:color w:val="000000"/>
          <w:sz w:val="24"/>
        </w:rPr>
        <w:t xml:space="preserve"> </w:t>
      </w:r>
      <w:r>
        <w:rPr>
          <w:rFonts w:ascii="바탕체" w:hAnsi="바탕체" w:eastAsia="바탕체"/>
          <w:b w:val="0"/>
          <w:color w:val="000000"/>
          <w:sz w:val="24"/>
        </w:rPr>
        <w:t>'26.02.1</w:t>
      </w:r>
      <w:r>
        <w:rPr>
          <w:rFonts w:ascii="바탕체" w:hAnsi="바탕체" w:eastAsia="바탕체"/>
          <w:b w:val="0"/>
          <w:color w:val="000000"/>
          <w:sz w:val="24"/>
        </w:rPr>
        <w:t xml:space="preserve"> ~</w:t>
      </w:r>
      <w:r>
        <w:rPr>
          <w:rFonts w:ascii="바탕체" w:hAnsi="바탕체" w:eastAsia="바탕체"/>
          <w:b w:val="0"/>
          <w:color w:val="000000"/>
          <w:sz w:val="24"/>
        </w:rPr>
        <w:t xml:space="preserve"> </w:t>
      </w:r>
      <w:r>
        <w:rPr>
          <w:rFonts w:ascii="바탕체" w:hAnsi="바탕체" w:eastAsia="바탕체"/>
          <w:b w:val="0"/>
          <w:color w:val="000000"/>
          <w:sz w:val="24"/>
        </w:rPr>
        <w:t>'26.02.28</w:t>
      </w:r>
      <w:r>
        <w:rPr>
          <w:rFonts w:ascii="바탕체" w:hAnsi="바탕체" w:eastAsia="바탕체"/>
          <w:b w:val="0"/>
          <w:color w:val="000000"/>
          <w:sz w:val="24"/>
        </w:rPr>
        <w:t xml:space="preserve"> (1개월)</w:t>
      </w:r>
    </w:p>
    <w:p>
      <w:pPr>
        <w:spacing w:line="360" w:lineRule="auto"/>
        <w:ind w:firstLine="240"/>
      </w:pPr>
      <w:r>
        <w:rPr>
          <w:rFonts w:ascii="바탕체" w:hAnsi="바탕체" w:eastAsia="바탕체"/>
          <w:b w:val="0"/>
          <w:color w:val="000000"/>
          <w:sz w:val="24"/>
        </w:rPr>
        <w:t xml:space="preserve">- </w:t>
      </w:r>
      <w:r>
        <w:rPr>
          <w:rFonts w:ascii="바탕체" w:hAnsi="바탕체" w:eastAsia="바탕체"/>
          <w:b w:val="0"/>
          <w:color w:val="000000"/>
          <w:sz w:val="24"/>
        </w:rPr>
        <w:t>2026-02 기준 자동지급률은 33.41%이고 처리효율은 60.78%입니다.</w:t>
      </w:r>
    </w:p>
    <w:p>
      <w:pPr>
        <w:spacing w:line="360" w:lineRule="auto"/>
        <w:ind w:firstLine="240"/>
      </w:pPr>
      <w:r>
        <w:rPr>
          <w:rFonts w:ascii="바탕체" w:hAnsi="바탕체" w:eastAsia="바탕체"/>
          <w:b w:val="0"/>
          <w:color w:val="000000"/>
          <w:sz w:val="24"/>
        </w:rPr>
        <w:t xml:space="preserve">- </w:t>
      </w:r>
      <w:r>
        <w:rPr>
          <w:rFonts w:ascii="바탕체" w:hAnsi="바탕체" w:eastAsia="바탕체"/>
          <w:b w:val="0"/>
          <w:color w:val="000000"/>
          <w:sz w:val="24"/>
        </w:rPr>
        <w:t>이번 월은 청구 특성 또는 비율 변화가 커서 운영 해석을 함께 확인할 필요가 있습니다.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</w:tcPr>
          <w:p>
            <w:pPr>
              <w:jc w:val="center"/>
            </w:pPr>
            <w:r>
              <w:rPr>
                <w:rFonts w:ascii="바탕체" w:hAnsi="바탕체" w:eastAsia="바탕체"/>
                <w:b/>
                <w:color w:val="000000"/>
                <w:sz w:val="24"/>
              </w:rPr>
              <w:t>항목</w:t>
            </w:r>
          </w:p>
        </w:tc>
        <w:tc>
          <w:tcPr>
            <w:tcW w:type="dxa" w:w="3408"/>
          </w:tcPr>
          <w:p>
            <w:pPr>
              <w:jc w:val="center"/>
            </w:pPr>
            <w:r>
              <w:rPr>
                <w:rFonts w:ascii="바탕체" w:hAnsi="바탕체" w:eastAsia="바탕체"/>
                <w:b/>
                <w:color w:val="000000"/>
                <w:sz w:val="24"/>
              </w:rPr>
              <w:t>당월</w:t>
            </w:r>
          </w:p>
        </w:tc>
        <w:tc>
          <w:tcPr>
            <w:tcW w:type="dxa" w:w="3408"/>
          </w:tcPr>
          <w:p>
            <w:pPr>
              <w:jc w:val="center"/>
            </w:pPr>
            <w:r>
              <w:rPr>
                <w:rFonts w:ascii="바탕체" w:hAnsi="바탕체" w:eastAsia="바탕체"/>
                <w:b/>
                <w:color w:val="000000"/>
                <w:sz w:val="24"/>
              </w:rPr>
              <w:t>전월比</w:t>
            </w:r>
          </w:p>
        </w:tc>
      </w:tr>
      <w:tr>
        <w:tc>
          <w:tcPr>
            <w:tcW w:type="dxa" w:w="3408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4"/>
              </w:rPr>
              <w:t>총 청구건수</w:t>
            </w:r>
          </w:p>
        </w:tc>
        <w:tc>
          <w:tcPr>
            <w:tcW w:type="dxa" w:w="3408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4"/>
              </w:rPr>
              <w:t>1,772</w:t>
            </w:r>
          </w:p>
        </w:tc>
        <w:tc>
          <w:tcPr>
            <w:tcW w:type="dxa" w:w="3408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4"/>
              </w:rPr>
              <w:t>-124 (-6.5%)</w:t>
            </w:r>
          </w:p>
        </w:tc>
      </w:tr>
      <w:tr>
        <w:tc>
          <w:tcPr>
            <w:tcW w:type="dxa" w:w="3408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4"/>
              </w:rPr>
              <w:t>자동지급 대상건수</w:t>
            </w:r>
          </w:p>
        </w:tc>
        <w:tc>
          <w:tcPr>
            <w:tcW w:type="dxa" w:w="3408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4"/>
              </w:rPr>
              <w:t>1,077</w:t>
            </w:r>
          </w:p>
        </w:tc>
        <w:tc>
          <w:tcPr>
            <w:tcW w:type="dxa" w:w="3408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4"/>
              </w:rPr>
              <w:t>-74 (-6.4%)</w:t>
            </w:r>
          </w:p>
        </w:tc>
      </w:tr>
      <w:tr>
        <w:tc>
          <w:tcPr>
            <w:tcW w:type="dxa" w:w="3408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4"/>
              </w:rPr>
              <w:t>자동지급 건수</w:t>
            </w:r>
          </w:p>
        </w:tc>
        <w:tc>
          <w:tcPr>
            <w:tcW w:type="dxa" w:w="3408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4"/>
              </w:rPr>
              <w:t>592</w:t>
            </w:r>
          </w:p>
        </w:tc>
        <w:tc>
          <w:tcPr>
            <w:tcW w:type="dxa" w:w="3408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4"/>
              </w:rPr>
              <w:t>90 (+17.9%)</w:t>
            </w:r>
          </w:p>
        </w:tc>
      </w:tr>
      <w:tr>
        <w:tc>
          <w:tcPr>
            <w:tcW w:type="dxa" w:w="3408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4"/>
              </w:rPr>
              <w:t>제외/인심사 건수</w:t>
            </w:r>
          </w:p>
        </w:tc>
        <w:tc>
          <w:tcPr>
            <w:tcW w:type="dxa" w:w="3408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4"/>
              </w:rPr>
              <w:t>1,180</w:t>
            </w:r>
          </w:p>
        </w:tc>
        <w:tc>
          <w:tcPr>
            <w:tcW w:type="dxa" w:w="3408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4"/>
              </w:rPr>
              <w:t>-214 (-15.3%)</w:t>
            </w:r>
          </w:p>
        </w:tc>
      </w:tr>
      <w:tr>
        <w:tc>
          <w:tcPr>
            <w:tcW w:type="dxa" w:w="3408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4"/>
              </w:rPr>
              <w:t>자동지급률</w:t>
            </w:r>
          </w:p>
        </w:tc>
        <w:tc>
          <w:tcPr>
            <w:tcW w:type="dxa" w:w="3408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4"/>
              </w:rPr>
              <w:t>33.41%</w:t>
            </w:r>
          </w:p>
        </w:tc>
        <w:tc>
          <w:tcPr>
            <w:tcW w:type="dxa" w:w="3408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4"/>
              </w:rPr>
              <w:t>+6.93pp</w:t>
            </w:r>
          </w:p>
        </w:tc>
      </w:tr>
      <w:tr>
        <w:tc>
          <w:tcPr>
            <w:tcW w:type="dxa" w:w="3408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4"/>
              </w:rPr>
              <w:t>처리효율</w:t>
            </w:r>
          </w:p>
        </w:tc>
        <w:tc>
          <w:tcPr>
            <w:tcW w:type="dxa" w:w="3408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4"/>
              </w:rPr>
              <w:t>60.78%</w:t>
            </w:r>
          </w:p>
        </w:tc>
        <w:tc>
          <w:tcPr>
            <w:tcW w:type="dxa" w:w="3408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4"/>
              </w:rPr>
              <w:t>+0.07pp</w:t>
            </w:r>
          </w:p>
        </w:tc>
      </w:tr>
      <w:tr>
        <w:tc>
          <w:tcPr>
            <w:tcW w:type="dxa" w:w="3408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4"/>
              </w:rPr>
              <w:t>운영상태</w:t>
            </w:r>
          </w:p>
        </w:tc>
        <w:tc>
          <w:tcPr>
            <w:tcW w:type="dxa" w:w="3408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4"/>
              </w:rPr>
              <w:t>변화</w:t>
            </w:r>
          </w:p>
        </w:tc>
        <w:tc>
          <w:tcPr>
            <w:tcW w:type="dxa" w:w="3408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4"/>
              </w:rPr>
              <w:t>유지</w:t>
            </w:r>
          </w:p>
        </w:tc>
      </w:tr>
    </w:tbl>
    <w:p/>
    <w:p>
      <w:r>
        <w:rPr>
          <w:rFonts w:ascii="Segoe UI Symbol" w:hAnsi="Segoe UI Symbol" w:eastAsia="Segoe UI Symbol"/>
          <w:b w:val="0"/>
          <w:color w:val="000000"/>
          <w:sz w:val="24"/>
        </w:rPr>
        <w:t>☐</w:t>
      </w:r>
      <w:r>
        <w:rPr>
          <w:rFonts w:ascii="바탕체" w:hAnsi="바탕체" w:eastAsia="바탕체"/>
          <w:b w:val="0"/>
          <w:color w:val="000000"/>
          <w:sz w:val="24"/>
        </w:rPr>
        <w:t xml:space="preserve"> </w:t>
      </w:r>
      <w:r>
        <w:rPr>
          <w:rFonts w:ascii="바탕체" w:hAnsi="바탕체" w:eastAsia="바탕체"/>
          <w:b w:val="0"/>
          <w:color w:val="000000"/>
          <w:sz w:val="24"/>
        </w:rPr>
        <w:t>접수채널별 처리현황</w:t>
      </w:r>
    </w:p>
    <w:p>
      <w:pPr>
        <w:spacing w:line="360" w:lineRule="auto"/>
        <w:ind w:firstLine="240"/>
      </w:pPr>
      <w:r>
        <w:rPr>
          <w:rFonts w:ascii="바탕체" w:hAnsi="바탕체" w:eastAsia="바탕체"/>
          <w:b w:val="0"/>
          <w:color w:val="000000"/>
          <w:sz w:val="24"/>
        </w:rPr>
        <w:t xml:space="preserve">- </w:t>
      </w:r>
      <w:r>
        <w:rPr>
          <w:rFonts w:ascii="바탕체" w:hAnsi="바탕체" w:eastAsia="바탕체"/>
          <w:b w:val="0"/>
          <w:color w:val="000000"/>
          <w:sz w:val="24"/>
        </w:rPr>
        <w:t>접수채널 중 실손24 채널의 자동지급 비율이 가장 높고, 해당 채널의 전환 흐름이 전체 처리현황을 주도합니다.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</w:tcPr>
          <w:p>
            <w:pPr>
              <w:jc w:val="center"/>
            </w:pPr>
            <w:r>
              <w:rPr>
                <w:rFonts w:ascii="바탕체" w:hAnsi="바탕체" w:eastAsia="바탕체"/>
                <w:b/>
                <w:color w:val="000000"/>
                <w:sz w:val="24"/>
              </w:rPr>
              <w:t>접수채널</w:t>
            </w:r>
          </w:p>
        </w:tc>
        <w:tc>
          <w:tcPr>
            <w:tcW w:type="dxa" w:w="2045"/>
          </w:tcPr>
          <w:p>
            <w:pPr>
              <w:jc w:val="center"/>
            </w:pPr>
            <w:r>
              <w:rPr>
                <w:rFonts w:ascii="바탕체" w:hAnsi="바탕체" w:eastAsia="바탕체"/>
                <w:b/>
                <w:color w:val="000000"/>
                <w:sz w:val="24"/>
              </w:rPr>
              <w:t>전체 청구건수</w:t>
            </w:r>
          </w:p>
        </w:tc>
        <w:tc>
          <w:tcPr>
            <w:tcW w:type="dxa" w:w="2045"/>
          </w:tcPr>
          <w:p>
            <w:pPr>
              <w:jc w:val="center"/>
            </w:pPr>
            <w:r>
              <w:rPr>
                <w:rFonts w:ascii="바탕체" w:hAnsi="바탕체" w:eastAsia="바탕체"/>
                <w:b/>
                <w:color w:val="000000"/>
                <w:sz w:val="24"/>
              </w:rPr>
              <w:t>자동지급건수</w:t>
            </w:r>
          </w:p>
        </w:tc>
        <w:tc>
          <w:tcPr>
            <w:tcW w:type="dxa" w:w="2045"/>
          </w:tcPr>
          <w:p>
            <w:pPr>
              <w:jc w:val="center"/>
            </w:pPr>
            <w:r>
              <w:rPr>
                <w:rFonts w:ascii="바탕체" w:hAnsi="바탕체" w:eastAsia="바탕체"/>
                <w:b/>
                <w:color w:val="000000"/>
                <w:sz w:val="24"/>
              </w:rPr>
              <w:t>자동지급 비율</w:t>
            </w:r>
          </w:p>
        </w:tc>
        <w:tc>
          <w:tcPr>
            <w:tcW w:type="dxa" w:w="2045"/>
          </w:tcPr>
          <w:p>
            <w:pPr>
              <w:jc w:val="center"/>
            </w:pPr>
            <w:r>
              <w:rPr>
                <w:rFonts w:ascii="바탕체" w:hAnsi="바탕체" w:eastAsia="바탕체"/>
                <w:b/>
                <w:color w:val="000000"/>
                <w:sz w:val="24"/>
              </w:rPr>
              <w:t>전월比</w:t>
            </w:r>
          </w:p>
        </w:tc>
      </w:tr>
      <w:tr>
        <w:tc>
          <w:tcPr>
            <w:tcW w:type="dxa" w:w="2045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4"/>
              </w:rPr>
              <w:t>대면</w:t>
            </w:r>
          </w:p>
        </w:tc>
        <w:tc>
          <w:tcPr>
            <w:tcW w:type="dxa" w:w="2045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4"/>
              </w:rPr>
              <w:t>574</w:t>
            </w:r>
          </w:p>
        </w:tc>
        <w:tc>
          <w:tcPr>
            <w:tcW w:type="dxa" w:w="2045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4"/>
              </w:rPr>
              <w:t>236</w:t>
            </w:r>
          </w:p>
        </w:tc>
        <w:tc>
          <w:tcPr>
            <w:tcW w:type="dxa" w:w="2045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4"/>
              </w:rPr>
              <w:t>41.1%</w:t>
            </w:r>
          </w:p>
        </w:tc>
        <w:tc>
          <w:tcPr>
            <w:tcW w:type="dxa" w:w="2045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4"/>
              </w:rPr>
              <w:t>+11.7pp</w:t>
            </w:r>
          </w:p>
        </w:tc>
      </w:tr>
      <w:tr>
        <w:tc>
          <w:tcPr>
            <w:tcW w:type="dxa" w:w="2045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4"/>
              </w:rPr>
              <w:t>비대면</w:t>
            </w:r>
          </w:p>
        </w:tc>
        <w:tc>
          <w:tcPr>
            <w:tcW w:type="dxa" w:w="2045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4"/>
              </w:rPr>
              <w:t>378</w:t>
            </w:r>
          </w:p>
        </w:tc>
        <w:tc>
          <w:tcPr>
            <w:tcW w:type="dxa" w:w="2045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4"/>
              </w:rPr>
              <w:t>46</w:t>
            </w:r>
          </w:p>
        </w:tc>
        <w:tc>
          <w:tcPr>
            <w:tcW w:type="dxa" w:w="2045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4"/>
              </w:rPr>
              <w:t>12.2%</w:t>
            </w:r>
          </w:p>
        </w:tc>
        <w:tc>
          <w:tcPr>
            <w:tcW w:type="dxa" w:w="2045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4"/>
              </w:rPr>
              <w:t>-1.8pp</w:t>
            </w:r>
          </w:p>
        </w:tc>
      </w:tr>
      <w:tr>
        <w:tc>
          <w:tcPr>
            <w:tcW w:type="dxa" w:w="2045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4"/>
              </w:rPr>
              <w:t>실손24</w:t>
            </w:r>
          </w:p>
        </w:tc>
        <w:tc>
          <w:tcPr>
            <w:tcW w:type="dxa" w:w="2045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4"/>
              </w:rPr>
              <w:t>48</w:t>
            </w:r>
          </w:p>
        </w:tc>
        <w:tc>
          <w:tcPr>
            <w:tcW w:type="dxa" w:w="2045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4"/>
              </w:rPr>
              <w:t>48</w:t>
            </w:r>
          </w:p>
        </w:tc>
        <w:tc>
          <w:tcPr>
            <w:tcW w:type="dxa" w:w="2045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4"/>
              </w:rPr>
              <w:t>100.0%</w:t>
            </w:r>
          </w:p>
        </w:tc>
        <w:tc>
          <w:tcPr>
            <w:tcW w:type="dxa" w:w="2045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4"/>
              </w:rPr>
              <w:t>+0.0pp</w:t>
            </w:r>
          </w:p>
        </w:tc>
      </w:tr>
    </w:tbl>
    <w:p/>
    <w:p>
      <w:r>
        <w:rPr>
          <w:rFonts w:ascii="Segoe UI Symbol" w:hAnsi="Segoe UI Symbol" w:eastAsia="Segoe UI Symbol"/>
          <w:b w:val="0"/>
          <w:color w:val="000000"/>
          <w:sz w:val="24"/>
        </w:rPr>
        <w:t>☐</w:t>
      </w:r>
      <w:r>
        <w:rPr>
          <w:rFonts w:ascii="바탕체" w:hAnsi="바탕체" w:eastAsia="바탕체"/>
          <w:b w:val="0"/>
          <w:color w:val="000000"/>
          <w:sz w:val="24"/>
        </w:rPr>
        <w:t xml:space="preserve"> </w:t>
      </w:r>
      <w:r>
        <w:rPr>
          <w:rFonts w:ascii="바탕체" w:hAnsi="바탕체" w:eastAsia="바탕체"/>
          <w:b w:val="0"/>
          <w:color w:val="000000"/>
          <w:sz w:val="24"/>
        </w:rPr>
        <w:t>진료구분별 처리현황</w:t>
      </w:r>
    </w:p>
    <w:p>
      <w:pPr>
        <w:spacing w:line="360" w:lineRule="auto"/>
        <w:ind w:firstLine="240"/>
      </w:pPr>
      <w:r>
        <w:rPr>
          <w:rFonts w:ascii="바탕체" w:hAnsi="바탕체" w:eastAsia="바탕체"/>
          <w:b w:val="0"/>
          <w:color w:val="000000"/>
          <w:sz w:val="24"/>
        </w:rPr>
        <w:t xml:space="preserve">- </w:t>
      </w:r>
      <w:r>
        <w:rPr>
          <w:rFonts w:ascii="바탕체" w:hAnsi="바탕체" w:eastAsia="바탕체"/>
          <w:b w:val="0"/>
          <w:color w:val="000000"/>
          <w:sz w:val="24"/>
        </w:rPr>
        <w:t>진료구분 중 통원이 자동지급 건의 중심이며 비중은 86.7%입니다.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</w:tcPr>
          <w:p>
            <w:pPr>
              <w:jc w:val="center"/>
            </w:pPr>
            <w:r>
              <w:rPr>
                <w:rFonts w:ascii="바탕체" w:hAnsi="바탕체" w:eastAsia="바탕체"/>
                <w:b/>
                <w:color w:val="000000"/>
                <w:sz w:val="24"/>
              </w:rPr>
              <w:t>진료구분</w:t>
            </w:r>
          </w:p>
        </w:tc>
        <w:tc>
          <w:tcPr>
            <w:tcW w:type="dxa" w:w="2556"/>
          </w:tcPr>
          <w:p>
            <w:pPr>
              <w:jc w:val="center"/>
            </w:pPr>
            <w:r>
              <w:rPr>
                <w:rFonts w:ascii="바탕체" w:hAnsi="바탕체" w:eastAsia="바탕체"/>
                <w:b/>
                <w:color w:val="000000"/>
                <w:sz w:val="24"/>
              </w:rPr>
              <w:t>자동지급건수</w:t>
            </w:r>
          </w:p>
        </w:tc>
        <w:tc>
          <w:tcPr>
            <w:tcW w:type="dxa" w:w="2556"/>
          </w:tcPr>
          <w:p>
            <w:pPr>
              <w:jc w:val="center"/>
            </w:pPr>
            <w:r>
              <w:rPr>
                <w:rFonts w:ascii="바탕체" w:hAnsi="바탕체" w:eastAsia="바탕체"/>
                <w:b/>
                <w:color w:val="000000"/>
                <w:sz w:val="24"/>
              </w:rPr>
              <w:t>비율</w:t>
            </w:r>
          </w:p>
        </w:tc>
        <w:tc>
          <w:tcPr>
            <w:tcW w:type="dxa" w:w="2556"/>
          </w:tcPr>
          <w:p>
            <w:pPr>
              <w:jc w:val="center"/>
            </w:pPr>
            <w:r>
              <w:rPr>
                <w:rFonts w:ascii="바탕체" w:hAnsi="바탕체" w:eastAsia="바탕체"/>
                <w:b/>
                <w:color w:val="000000"/>
                <w:sz w:val="24"/>
              </w:rPr>
              <w:t>전월比</w:t>
            </w:r>
          </w:p>
        </w:tc>
      </w:tr>
      <w:tr>
        <w:tc>
          <w:tcPr>
            <w:tcW w:type="dxa" w:w="2556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4"/>
              </w:rPr>
              <w:t>통원</w:t>
            </w:r>
          </w:p>
        </w:tc>
        <w:tc>
          <w:tcPr>
            <w:tcW w:type="dxa" w:w="2556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4"/>
              </w:rPr>
              <w:t>286</w:t>
            </w:r>
          </w:p>
        </w:tc>
        <w:tc>
          <w:tcPr>
            <w:tcW w:type="dxa" w:w="2556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4"/>
              </w:rPr>
              <w:t>86.7%</w:t>
            </w:r>
          </w:p>
        </w:tc>
        <w:tc>
          <w:tcPr>
            <w:tcW w:type="dxa" w:w="2556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4"/>
              </w:rPr>
              <w:t>-1.5pp</w:t>
            </w:r>
          </w:p>
        </w:tc>
      </w:tr>
      <w:tr>
        <w:tc>
          <w:tcPr>
            <w:tcW w:type="dxa" w:w="2556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4"/>
              </w:rPr>
              <w:t>입원</w:t>
            </w:r>
          </w:p>
        </w:tc>
        <w:tc>
          <w:tcPr>
            <w:tcW w:type="dxa" w:w="2556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4"/>
              </w:rPr>
              <w:t>44</w:t>
            </w:r>
          </w:p>
        </w:tc>
        <w:tc>
          <w:tcPr>
            <w:tcW w:type="dxa" w:w="2556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4"/>
              </w:rPr>
              <w:t>13.3%</w:t>
            </w:r>
          </w:p>
        </w:tc>
        <w:tc>
          <w:tcPr>
            <w:tcW w:type="dxa" w:w="2556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4"/>
              </w:rPr>
              <w:t>+1.5pp</w:t>
            </w:r>
          </w:p>
        </w:tc>
      </w:tr>
    </w:tbl>
    <w:p>
      <w:r>
        <w:rPr>
          <w:rFonts w:ascii="바탕체" w:hAnsi="바탕체" w:eastAsia="바탕체"/>
          <w:b/>
          <w:color w:val="000000"/>
          <w:sz w:val="24"/>
        </w:rPr>
        <w:t xml:space="preserve">2. </w:t>
      </w:r>
      <w:r>
        <w:rPr>
          <w:rFonts w:ascii="바탕체" w:hAnsi="바탕체" w:eastAsia="바탕체"/>
          <w:b/>
          <w:color w:val="000000"/>
          <w:sz w:val="24"/>
        </w:rPr>
        <w:t>청구 특성 변화</w:t>
      </w:r>
    </w:p>
    <w:p>
      <w:pPr>
        <w:spacing w:line="360" w:lineRule="auto"/>
        <w:ind w:firstLine="240"/>
      </w:pPr>
      <w:r>
        <w:rPr>
          <w:rFonts w:ascii="바탕체" w:hAnsi="바탕체" w:eastAsia="바탕체"/>
          <w:b w:val="0"/>
          <w:color w:val="000000"/>
          <w:sz w:val="24"/>
        </w:rPr>
        <w:t xml:space="preserve">- </w:t>
      </w:r>
      <w:r>
        <w:rPr>
          <w:rFonts w:ascii="바탕체" w:hAnsi="바탕체" w:eastAsia="바탕체"/>
          <w:b w:val="0"/>
          <w:color w:val="000000"/>
          <w:sz w:val="24"/>
        </w:rPr>
        <w:t>전월 대비 자동지급률을 변화시킨 청구 특성 요소를 점검합니다.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04"/>
        <w:gridCol w:w="1704"/>
        <w:gridCol w:w="1704"/>
        <w:gridCol w:w="1704"/>
        <w:gridCol w:w="1704"/>
        <w:gridCol w:w="1704"/>
      </w:tblGrid>
      <w:tr>
        <w:tc>
          <w:tcPr>
            <w:tcW w:type="dxa" w:w="1704"/>
          </w:tcPr>
          <w:p>
            <w:pPr>
              <w:jc w:val="center"/>
            </w:pPr>
            <w:r>
              <w:rPr>
                <w:rFonts w:ascii="바탕체" w:hAnsi="바탕체" w:eastAsia="바탕체"/>
                <w:b/>
                <w:color w:val="000000"/>
                <w:sz w:val="24"/>
              </w:rPr>
              <w:t>청구 특성</w:t>
            </w:r>
          </w:p>
        </w:tc>
        <w:tc>
          <w:tcPr>
            <w:tcW w:type="dxa" w:w="1704"/>
          </w:tcPr>
          <w:p>
            <w:pPr>
              <w:jc w:val="center"/>
            </w:pPr>
            <w:r>
              <w:rPr>
                <w:rFonts w:ascii="바탕체" w:hAnsi="바탕체" w:eastAsia="바탕체"/>
                <w:b/>
                <w:color w:val="000000"/>
                <w:sz w:val="24"/>
              </w:rPr>
              <w:t>주요 변화값</w:t>
            </w:r>
          </w:p>
        </w:tc>
        <w:tc>
          <w:tcPr>
            <w:tcW w:type="dxa" w:w="1704"/>
          </w:tcPr>
          <w:p>
            <w:pPr>
              <w:jc w:val="center"/>
            </w:pPr>
            <w:r>
              <w:rPr>
                <w:rFonts w:ascii="바탕체" w:hAnsi="바탕체" w:eastAsia="바탕체"/>
                <w:b/>
                <w:color w:val="000000"/>
                <w:sz w:val="24"/>
              </w:rPr>
              <w:t>전월 자동지급률</w:t>
            </w:r>
          </w:p>
        </w:tc>
        <w:tc>
          <w:tcPr>
            <w:tcW w:type="dxa" w:w="1704"/>
          </w:tcPr>
          <w:p>
            <w:pPr>
              <w:jc w:val="center"/>
            </w:pPr>
            <w:r>
              <w:rPr>
                <w:rFonts w:ascii="바탕체" w:hAnsi="바탕체" w:eastAsia="바탕체"/>
                <w:b/>
                <w:color w:val="000000"/>
                <w:sz w:val="24"/>
              </w:rPr>
              <w:t>당월 자동지급률</w:t>
            </w:r>
          </w:p>
        </w:tc>
        <w:tc>
          <w:tcPr>
            <w:tcW w:type="dxa" w:w="1704"/>
          </w:tcPr>
          <w:p>
            <w:pPr>
              <w:jc w:val="center"/>
            </w:pPr>
            <w:r>
              <w:rPr>
                <w:rFonts w:ascii="바탕체" w:hAnsi="바탕체" w:eastAsia="바탕체"/>
                <w:b/>
                <w:color w:val="000000"/>
                <w:sz w:val="24"/>
              </w:rPr>
              <w:t>변화(pp)</w:t>
            </w:r>
          </w:p>
        </w:tc>
        <w:tc>
          <w:tcPr>
            <w:tcW w:type="dxa" w:w="1704"/>
          </w:tcPr>
          <w:p>
            <w:pPr>
              <w:jc w:val="center"/>
            </w:pPr>
            <w:r>
              <w:rPr>
                <w:rFonts w:ascii="바탕체" w:hAnsi="바탕체" w:eastAsia="바탕체"/>
                <w:b/>
                <w:color w:val="000000"/>
                <w:sz w:val="24"/>
              </w:rPr>
              <w:t>해석</w:t>
            </w:r>
          </w:p>
        </w:tc>
      </w:tr>
      <w:tr>
        <w:tc>
          <w:tcPr>
            <w:tcW w:type="dxa" w:w="1704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4"/>
              </w:rPr>
              <w:t>접수채널</w:t>
            </w:r>
          </w:p>
        </w:tc>
        <w:tc>
          <w:tcPr>
            <w:tcW w:type="dxa" w:w="1704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4"/>
              </w:rPr>
              <w:t>대면</w:t>
            </w:r>
          </w:p>
        </w:tc>
        <w:tc>
          <w:tcPr>
            <w:tcW w:type="dxa" w:w="1704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4"/>
              </w:rPr>
              <w:t>29.4%</w:t>
            </w:r>
          </w:p>
        </w:tc>
        <w:tc>
          <w:tcPr>
            <w:tcW w:type="dxa" w:w="1704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4"/>
              </w:rPr>
              <w:t>41.1%</w:t>
            </w:r>
          </w:p>
        </w:tc>
        <w:tc>
          <w:tcPr>
            <w:tcW w:type="dxa" w:w="1704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4"/>
              </w:rPr>
              <w:t>+11.7pp</w:t>
            </w:r>
          </w:p>
        </w:tc>
        <w:tc>
          <w:tcPr>
            <w:tcW w:type="dxa" w:w="1704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4"/>
              </w:rPr>
              <w:t>대면의 자동지급률이 29.4% → 41.1%로 상승했습니다.</w:t>
            </w:r>
          </w:p>
        </w:tc>
      </w:tr>
      <w:tr>
        <w:tc>
          <w:tcPr>
            <w:tcW w:type="dxa" w:w="1704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4"/>
              </w:rPr>
              <w:t>진료구분</w:t>
            </w:r>
          </w:p>
        </w:tc>
        <w:tc>
          <w:tcPr>
            <w:tcW w:type="dxa" w:w="1704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4"/>
              </w:rPr>
              <w:t>통원</w:t>
            </w:r>
          </w:p>
        </w:tc>
        <w:tc>
          <w:tcPr>
            <w:tcW w:type="dxa" w:w="1704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4"/>
              </w:rPr>
              <w:t>39.0%</w:t>
            </w:r>
          </w:p>
        </w:tc>
        <w:tc>
          <w:tcPr>
            <w:tcW w:type="dxa" w:w="1704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4"/>
              </w:rPr>
              <w:t>47.2%</w:t>
            </w:r>
          </w:p>
        </w:tc>
        <w:tc>
          <w:tcPr>
            <w:tcW w:type="dxa" w:w="1704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4"/>
              </w:rPr>
              <w:t>+8.1pp</w:t>
            </w:r>
          </w:p>
        </w:tc>
        <w:tc>
          <w:tcPr>
            <w:tcW w:type="dxa" w:w="1704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4"/>
              </w:rPr>
              <w:t>통원의 자동지급률이 39.0% → 47.2%로 상승했습니다.</w:t>
            </w:r>
          </w:p>
        </w:tc>
      </w:tr>
      <w:tr>
        <w:tc>
          <w:tcPr>
            <w:tcW w:type="dxa" w:w="1704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4"/>
              </w:rPr>
              <w:t>병원종별</w:t>
            </w:r>
          </w:p>
        </w:tc>
        <w:tc>
          <w:tcPr>
            <w:tcW w:type="dxa" w:w="1704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4"/>
              </w:rPr>
              <w:t>의원</w:t>
            </w:r>
          </w:p>
        </w:tc>
        <w:tc>
          <w:tcPr>
            <w:tcW w:type="dxa" w:w="1704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4"/>
              </w:rPr>
              <w:t>42.0%</w:t>
            </w:r>
          </w:p>
        </w:tc>
        <w:tc>
          <w:tcPr>
            <w:tcW w:type="dxa" w:w="1704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4"/>
              </w:rPr>
              <w:t>50.5%</w:t>
            </w:r>
          </w:p>
        </w:tc>
        <w:tc>
          <w:tcPr>
            <w:tcW w:type="dxa" w:w="1704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4"/>
              </w:rPr>
              <w:t>+8.5pp</w:t>
            </w:r>
          </w:p>
        </w:tc>
        <w:tc>
          <w:tcPr>
            <w:tcW w:type="dxa" w:w="1704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4"/>
              </w:rPr>
              <w:t>의원의 자동지급률이 42.0% → 50.5%로 상승했습니다.</w:t>
            </w:r>
          </w:p>
        </w:tc>
      </w:tr>
      <w:tr>
        <w:tc>
          <w:tcPr>
            <w:tcW w:type="dxa" w:w="1704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4"/>
              </w:rPr>
              <w:t>주상병코드</w:t>
            </w:r>
          </w:p>
        </w:tc>
        <w:tc>
          <w:tcPr>
            <w:tcW w:type="dxa" w:w="1704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4"/>
              </w:rPr>
              <w:t>M75</w:t>
            </w:r>
          </w:p>
        </w:tc>
        <w:tc>
          <w:tcPr>
            <w:tcW w:type="dxa" w:w="1704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4"/>
              </w:rPr>
              <w:t>30.9%</w:t>
            </w:r>
          </w:p>
        </w:tc>
        <w:tc>
          <w:tcPr>
            <w:tcW w:type="dxa" w:w="1704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4"/>
              </w:rPr>
              <w:t>59.1%</w:t>
            </w:r>
          </w:p>
        </w:tc>
        <w:tc>
          <w:tcPr>
            <w:tcW w:type="dxa" w:w="1704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4"/>
              </w:rPr>
              <w:t>+28.3pp</w:t>
            </w:r>
          </w:p>
        </w:tc>
        <w:tc>
          <w:tcPr>
            <w:tcW w:type="dxa" w:w="1704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4"/>
              </w:rPr>
              <w:t>M75의 자동지급률이 30.9% → 59.1%로 상승했습니다.</w:t>
            </w:r>
          </w:p>
        </w:tc>
      </w:tr>
    </w:tbl>
    <w:p/>
    <w:p>
      <w:r>
        <w:rPr>
          <w:rFonts w:ascii="바탕체" w:hAnsi="바탕체" w:eastAsia="바탕체"/>
          <w:b/>
          <w:color w:val="000000"/>
          <w:sz w:val="24"/>
        </w:rPr>
        <w:t xml:space="preserve">3. </w:t>
      </w:r>
      <w:r>
        <w:rPr>
          <w:rFonts w:ascii="바탕체" w:hAnsi="바탕체" w:eastAsia="바탕체"/>
          <w:b/>
          <w:color w:val="000000"/>
          <w:sz w:val="24"/>
        </w:rPr>
        <w:t>유형별 상세 현황</w:t>
      </w:r>
    </w:p>
    <w:p>
      <w:r>
        <w:rPr>
          <w:rFonts w:ascii="Segoe UI Symbol" w:hAnsi="Segoe UI Symbol" w:eastAsia="Segoe UI Symbol"/>
          <w:b w:val="0"/>
          <w:color w:val="000000"/>
          <w:sz w:val="24"/>
        </w:rPr>
        <w:t>☐</w:t>
      </w:r>
      <w:r>
        <w:rPr>
          <w:rFonts w:ascii="바탕체" w:hAnsi="바탕체" w:eastAsia="바탕체"/>
          <w:b w:val="0"/>
          <w:color w:val="000000"/>
          <w:sz w:val="24"/>
        </w:rPr>
        <w:t xml:space="preserve"> </w:t>
      </w:r>
      <w:r>
        <w:rPr>
          <w:rFonts w:ascii="바탕체" w:hAnsi="바탕체" w:eastAsia="바탕체"/>
          <w:b w:val="0"/>
          <w:color w:val="000000"/>
          <w:sz w:val="24"/>
        </w:rPr>
        <w:t>자동지급</w:t>
      </w:r>
      <w:r>
        <w:rPr>
          <w:rFonts w:ascii="바탕체" w:hAnsi="바탕체" w:eastAsia="바탕체"/>
          <w:b w:val="0"/>
          <w:color w:val="000000"/>
          <w:sz w:val="24"/>
        </w:rPr>
        <w:t xml:space="preserve"> </w:t>
      </w:r>
      <w:r>
        <w:rPr>
          <w:rFonts w:ascii="바탕체" w:hAnsi="바탕체" w:eastAsia="바탕체"/>
          <w:b w:val="0"/>
          <w:color w:val="000000"/>
          <w:sz w:val="24"/>
        </w:rPr>
        <w:t>유형</w:t>
      </w:r>
    </w:p>
    <w:p>
      <w:pPr>
        <w:spacing w:line="360" w:lineRule="auto"/>
        <w:ind w:firstLine="240"/>
      </w:pPr>
      <w:r>
        <w:rPr>
          <w:rFonts w:ascii="바탕체" w:hAnsi="바탕체" w:eastAsia="바탕체"/>
          <w:b w:val="0"/>
          <w:color w:val="000000"/>
          <w:sz w:val="24"/>
        </w:rPr>
        <w:t xml:space="preserve">- </w:t>
      </w:r>
      <w:r>
        <w:rPr>
          <w:rFonts w:ascii="바탕체" w:hAnsi="바탕체" w:eastAsia="바탕체"/>
          <w:b w:val="0"/>
          <w:color w:val="000000"/>
          <w:sz w:val="24"/>
        </w:rPr>
        <w:t>상위 자동지급 유형은 급여 단순건(A06)이며 전월 대비 7 (+13.5%)입니다.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61"/>
        <w:gridCol w:w="1461"/>
        <w:gridCol w:w="1461"/>
        <w:gridCol w:w="1461"/>
        <w:gridCol w:w="1461"/>
        <w:gridCol w:w="1461"/>
        <w:gridCol w:w="1461"/>
      </w:tblGrid>
      <w:tr>
        <w:tc>
          <w:tcPr>
            <w:tcW w:type="dxa" w:w="1461"/>
          </w:tcPr>
          <w:p>
            <w:pPr>
              <w:jc w:val="center"/>
            </w:pPr>
            <w:r>
              <w:rPr>
                <w:rFonts w:ascii="바탕체" w:hAnsi="바탕체" w:eastAsia="바탕체"/>
                <w:b/>
                <w:color w:val="000000"/>
                <w:sz w:val="20"/>
              </w:rPr>
              <w:t>순위</w:t>
            </w:r>
          </w:p>
        </w:tc>
        <w:tc>
          <w:tcPr>
            <w:tcW w:type="dxa" w:w="1461"/>
          </w:tcPr>
          <w:p>
            <w:pPr>
              <w:jc w:val="center"/>
            </w:pPr>
            <w:r>
              <w:rPr>
                <w:rFonts w:ascii="바탕체" w:hAnsi="바탕체" w:eastAsia="바탕체"/>
                <w:b/>
                <w:color w:val="000000"/>
                <w:sz w:val="20"/>
              </w:rPr>
              <w:t>코드</w:t>
            </w:r>
          </w:p>
        </w:tc>
        <w:tc>
          <w:tcPr>
            <w:tcW w:type="dxa" w:w="1461"/>
          </w:tcPr>
          <w:p>
            <w:pPr>
              <w:jc w:val="center"/>
            </w:pPr>
            <w:r>
              <w:rPr>
                <w:rFonts w:ascii="바탕체" w:hAnsi="바탕체" w:eastAsia="바탕체"/>
                <w:b/>
                <w:color w:val="000000"/>
                <w:sz w:val="20"/>
              </w:rPr>
              <w:t>유형명</w:t>
            </w:r>
          </w:p>
        </w:tc>
        <w:tc>
          <w:tcPr>
            <w:tcW w:type="dxa" w:w="1461"/>
          </w:tcPr>
          <w:p>
            <w:pPr>
              <w:jc w:val="center"/>
            </w:pPr>
            <w:r>
              <w:rPr>
                <w:rFonts w:ascii="바탕체" w:hAnsi="바탕체" w:eastAsia="바탕체"/>
                <w:b/>
                <w:color w:val="000000"/>
                <w:sz w:val="20"/>
              </w:rPr>
              <w:t>비중</w:t>
            </w:r>
          </w:p>
        </w:tc>
        <w:tc>
          <w:tcPr>
            <w:tcW w:type="dxa" w:w="1461"/>
          </w:tcPr>
          <w:p>
            <w:pPr>
              <w:jc w:val="center"/>
            </w:pPr>
            <w:r>
              <w:rPr>
                <w:rFonts w:ascii="바탕체" w:hAnsi="바탕체" w:eastAsia="바탕체"/>
                <w:b/>
                <w:color w:val="000000"/>
                <w:sz w:val="20"/>
              </w:rPr>
              <w:t>당월</w:t>
            </w:r>
          </w:p>
        </w:tc>
        <w:tc>
          <w:tcPr>
            <w:tcW w:type="dxa" w:w="1461"/>
          </w:tcPr>
          <w:p>
            <w:pPr>
              <w:jc w:val="center"/>
            </w:pPr>
            <w:r>
              <w:rPr>
                <w:rFonts w:ascii="바탕체" w:hAnsi="바탕체" w:eastAsia="바탕체"/>
                <w:b/>
                <w:color w:val="000000"/>
                <w:sz w:val="20"/>
              </w:rPr>
              <w:t>전월</w:t>
            </w:r>
          </w:p>
        </w:tc>
        <w:tc>
          <w:tcPr>
            <w:tcW w:type="dxa" w:w="1461"/>
          </w:tcPr>
          <w:p>
            <w:pPr>
              <w:jc w:val="center"/>
            </w:pPr>
            <w:r>
              <w:rPr>
                <w:rFonts w:ascii="바탕체" w:hAnsi="바탕체" w:eastAsia="바탕체"/>
                <w:b/>
                <w:color w:val="000000"/>
                <w:sz w:val="20"/>
              </w:rPr>
              <w:t>증감</w:t>
            </w:r>
          </w:p>
        </w:tc>
      </w:tr>
      <w:tr>
        <w:tc>
          <w:tcPr>
            <w:tcW w:type="dxa" w:w="1461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0"/>
              </w:rPr>
              <w:t>1</w:t>
            </w:r>
          </w:p>
        </w:tc>
        <w:tc>
          <w:tcPr>
            <w:tcW w:type="dxa" w:w="1461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0"/>
              </w:rPr>
              <w:t>A06</w:t>
            </w:r>
          </w:p>
        </w:tc>
        <w:tc>
          <w:tcPr>
            <w:tcW w:type="dxa" w:w="1461"/>
          </w:tcPr>
          <w:p>
            <w:pPr>
              <w:jc w:val="left"/>
            </w:pPr>
            <w:r>
              <w:rPr>
                <w:rFonts w:ascii="바탕체" w:hAnsi="바탕체" w:eastAsia="바탕체"/>
                <w:b w:val="0"/>
                <w:color w:val="000000"/>
                <w:sz w:val="20"/>
              </w:rPr>
              <w:t>급여 단순건</w:t>
            </w:r>
          </w:p>
        </w:tc>
        <w:tc>
          <w:tcPr>
            <w:tcW w:type="dxa" w:w="1461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0"/>
              </w:rPr>
              <w:t>17.9%</w:t>
            </w:r>
          </w:p>
        </w:tc>
        <w:tc>
          <w:tcPr>
            <w:tcW w:type="dxa" w:w="1461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0"/>
              </w:rPr>
              <w:t>59</w:t>
            </w:r>
          </w:p>
        </w:tc>
        <w:tc>
          <w:tcPr>
            <w:tcW w:type="dxa" w:w="1461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0"/>
              </w:rPr>
              <w:t>52</w:t>
            </w:r>
          </w:p>
        </w:tc>
        <w:tc>
          <w:tcPr>
            <w:tcW w:type="dxa" w:w="1461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0"/>
              </w:rPr>
              <w:t>7 (+13.5%)</w:t>
            </w:r>
          </w:p>
        </w:tc>
      </w:tr>
      <w:tr>
        <w:tc>
          <w:tcPr>
            <w:tcW w:type="dxa" w:w="1461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0"/>
              </w:rPr>
              <w:t>2</w:t>
            </w:r>
          </w:p>
        </w:tc>
        <w:tc>
          <w:tcPr>
            <w:tcW w:type="dxa" w:w="1461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0"/>
              </w:rPr>
              <w:t>A03</w:t>
            </w:r>
          </w:p>
        </w:tc>
        <w:tc>
          <w:tcPr>
            <w:tcW w:type="dxa" w:w="1461"/>
          </w:tcPr>
          <w:p>
            <w:pPr>
              <w:jc w:val="left"/>
            </w:pPr>
            <w:r>
              <w:rPr>
                <w:rFonts w:ascii="바탕체" w:hAnsi="바탕체" w:eastAsia="바탕체"/>
                <w:b w:val="0"/>
                <w:color w:val="000000"/>
                <w:sz w:val="20"/>
              </w:rPr>
              <w:t>통원 급여전용건</w:t>
            </w:r>
          </w:p>
        </w:tc>
        <w:tc>
          <w:tcPr>
            <w:tcW w:type="dxa" w:w="1461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0"/>
              </w:rPr>
              <w:t>15.2%</w:t>
            </w:r>
          </w:p>
        </w:tc>
        <w:tc>
          <w:tcPr>
            <w:tcW w:type="dxa" w:w="1461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0"/>
              </w:rPr>
              <w:t>50</w:t>
            </w:r>
          </w:p>
        </w:tc>
        <w:tc>
          <w:tcPr>
            <w:tcW w:type="dxa" w:w="1461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0"/>
              </w:rPr>
              <w:t>33</w:t>
            </w:r>
          </w:p>
        </w:tc>
        <w:tc>
          <w:tcPr>
            <w:tcW w:type="dxa" w:w="1461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0"/>
              </w:rPr>
              <w:t>17 (+51.5%)</w:t>
            </w:r>
          </w:p>
        </w:tc>
      </w:tr>
      <w:tr>
        <w:tc>
          <w:tcPr>
            <w:tcW w:type="dxa" w:w="1461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0"/>
              </w:rPr>
              <w:t>3</w:t>
            </w:r>
          </w:p>
        </w:tc>
        <w:tc>
          <w:tcPr>
            <w:tcW w:type="dxa" w:w="1461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0"/>
              </w:rPr>
              <w:t>A04</w:t>
            </w:r>
          </w:p>
        </w:tc>
        <w:tc>
          <w:tcPr>
            <w:tcW w:type="dxa" w:w="1461"/>
          </w:tcPr>
          <w:p>
            <w:pPr>
              <w:jc w:val="left"/>
            </w:pPr>
            <w:r>
              <w:rPr>
                <w:rFonts w:ascii="바탕체" w:hAnsi="바탕체" w:eastAsia="바탕체"/>
                <w:b w:val="0"/>
                <w:color w:val="000000"/>
                <w:sz w:val="20"/>
              </w:rPr>
              <w:t>실손24 소액건</w:t>
            </w:r>
          </w:p>
        </w:tc>
        <w:tc>
          <w:tcPr>
            <w:tcW w:type="dxa" w:w="1461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0"/>
              </w:rPr>
              <w:t>14.6%</w:t>
            </w:r>
          </w:p>
        </w:tc>
        <w:tc>
          <w:tcPr>
            <w:tcW w:type="dxa" w:w="1461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0"/>
              </w:rPr>
              <w:t>48</w:t>
            </w:r>
          </w:p>
        </w:tc>
        <w:tc>
          <w:tcPr>
            <w:tcW w:type="dxa" w:w="1461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0"/>
              </w:rPr>
              <w:t>38</w:t>
            </w:r>
          </w:p>
        </w:tc>
        <w:tc>
          <w:tcPr>
            <w:tcW w:type="dxa" w:w="1461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0"/>
              </w:rPr>
              <w:t>10 (+26.3%)</w:t>
            </w:r>
          </w:p>
        </w:tc>
      </w:tr>
      <w:tr>
        <w:tc>
          <w:tcPr>
            <w:tcW w:type="dxa" w:w="1461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0"/>
              </w:rPr>
              <w:t>4</w:t>
            </w:r>
          </w:p>
        </w:tc>
        <w:tc>
          <w:tcPr>
            <w:tcW w:type="dxa" w:w="1461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0"/>
              </w:rPr>
              <w:t>A05</w:t>
            </w:r>
          </w:p>
        </w:tc>
        <w:tc>
          <w:tcPr>
            <w:tcW w:type="dxa" w:w="1461"/>
          </w:tcPr>
          <w:p>
            <w:pPr>
              <w:jc w:val="left"/>
            </w:pPr>
            <w:r>
              <w:rPr>
                <w:rFonts w:ascii="바탕체" w:hAnsi="바탕체" w:eastAsia="바탕체"/>
                <w:b w:val="0"/>
                <w:color w:val="000000"/>
                <w:sz w:val="20"/>
              </w:rPr>
              <w:t>검증된 반복 통원</w:t>
            </w:r>
          </w:p>
        </w:tc>
        <w:tc>
          <w:tcPr>
            <w:tcW w:type="dxa" w:w="1461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0"/>
              </w:rPr>
              <w:t>13.9%</w:t>
            </w:r>
          </w:p>
        </w:tc>
        <w:tc>
          <w:tcPr>
            <w:tcW w:type="dxa" w:w="1461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0"/>
              </w:rPr>
              <w:t>46</w:t>
            </w:r>
          </w:p>
        </w:tc>
        <w:tc>
          <w:tcPr>
            <w:tcW w:type="dxa" w:w="1461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0"/>
              </w:rPr>
              <w:t>8</w:t>
            </w:r>
          </w:p>
        </w:tc>
        <w:tc>
          <w:tcPr>
            <w:tcW w:type="dxa" w:w="1461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0"/>
              </w:rPr>
              <w:t>38 (+475.0%)</w:t>
            </w:r>
          </w:p>
        </w:tc>
      </w:tr>
      <w:tr>
        <w:tc>
          <w:tcPr>
            <w:tcW w:type="dxa" w:w="1461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0"/>
              </w:rPr>
              <w:t>5</w:t>
            </w:r>
          </w:p>
        </w:tc>
        <w:tc>
          <w:tcPr>
            <w:tcW w:type="dxa" w:w="1461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0"/>
              </w:rPr>
              <w:t>A01</w:t>
            </w:r>
          </w:p>
        </w:tc>
        <w:tc>
          <w:tcPr>
            <w:tcW w:type="dxa" w:w="1461"/>
          </w:tcPr>
          <w:p>
            <w:pPr>
              <w:jc w:val="left"/>
            </w:pPr>
            <w:r>
              <w:rPr>
                <w:rFonts w:ascii="바탕체" w:hAnsi="바탕체" w:eastAsia="바탕체"/>
                <w:b w:val="0"/>
                <w:color w:val="000000"/>
                <w:sz w:val="20"/>
              </w:rPr>
              <w:t>비대면 소액 통원</w:t>
            </w:r>
          </w:p>
        </w:tc>
        <w:tc>
          <w:tcPr>
            <w:tcW w:type="dxa" w:w="1461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0"/>
              </w:rPr>
              <w:t>13.9%</w:t>
            </w:r>
          </w:p>
        </w:tc>
        <w:tc>
          <w:tcPr>
            <w:tcW w:type="dxa" w:w="1461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0"/>
              </w:rPr>
              <w:t>46</w:t>
            </w:r>
          </w:p>
        </w:tc>
        <w:tc>
          <w:tcPr>
            <w:tcW w:type="dxa" w:w="1461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0"/>
              </w:rPr>
              <w:t>61</w:t>
            </w:r>
          </w:p>
        </w:tc>
        <w:tc>
          <w:tcPr>
            <w:tcW w:type="dxa" w:w="1461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0"/>
              </w:rPr>
              <w:t>-15 (-24.6%)</w:t>
            </w:r>
          </w:p>
        </w:tc>
      </w:tr>
    </w:tbl>
    <w:p/>
    <w:p>
      <w:r>
        <w:rPr>
          <w:rFonts w:ascii="Segoe UI Symbol" w:hAnsi="Segoe UI Symbol" w:eastAsia="Segoe UI Symbol"/>
          <w:b w:val="0"/>
          <w:color w:val="000000"/>
          <w:sz w:val="24"/>
        </w:rPr>
        <w:t>☐</w:t>
      </w:r>
      <w:r>
        <w:rPr>
          <w:rFonts w:ascii="바탕체" w:hAnsi="바탕체" w:eastAsia="바탕체"/>
          <w:b w:val="0"/>
          <w:color w:val="000000"/>
          <w:sz w:val="24"/>
        </w:rPr>
        <w:t xml:space="preserve"> </w:t>
      </w:r>
      <w:r>
        <w:rPr>
          <w:rFonts w:ascii="바탕체" w:hAnsi="바탕체" w:eastAsia="바탕체"/>
          <w:b w:val="0"/>
          <w:color w:val="000000"/>
          <w:sz w:val="24"/>
        </w:rPr>
        <w:t>자동지급</w:t>
      </w:r>
      <w:r>
        <w:rPr>
          <w:rFonts w:ascii="바탕체" w:hAnsi="바탕체" w:eastAsia="바탕체"/>
          <w:b w:val="0"/>
          <w:color w:val="000000"/>
          <w:sz w:val="24"/>
        </w:rPr>
        <w:t xml:space="preserve"> </w:t>
      </w:r>
      <w:r>
        <w:rPr>
          <w:rFonts w:ascii="바탕체" w:hAnsi="바탕체" w:eastAsia="바탕체"/>
          <w:b w:val="0"/>
          <w:color w:val="000000"/>
          <w:sz w:val="24"/>
        </w:rPr>
        <w:t>제외</w:t>
      </w:r>
      <w:r>
        <w:rPr>
          <w:rFonts w:ascii="바탕체" w:hAnsi="바탕체" w:eastAsia="바탕체"/>
          <w:b w:val="0"/>
          <w:color w:val="000000"/>
          <w:sz w:val="24"/>
        </w:rPr>
        <w:t xml:space="preserve"> </w:t>
      </w:r>
      <w:r>
        <w:rPr>
          <w:rFonts w:ascii="바탕체" w:hAnsi="바탕체" w:eastAsia="바탕체"/>
          <w:b w:val="0"/>
          <w:color w:val="000000"/>
          <w:sz w:val="24"/>
        </w:rPr>
        <w:t>유형</w:t>
      </w:r>
    </w:p>
    <w:p>
      <w:pPr>
        <w:spacing w:line="360" w:lineRule="auto"/>
        <w:ind w:firstLine="240"/>
      </w:pPr>
      <w:r>
        <w:rPr>
          <w:rFonts w:ascii="바탕체" w:hAnsi="바탕체" w:eastAsia="바탕체"/>
          <w:b w:val="0"/>
          <w:color w:val="000000"/>
          <w:sz w:val="24"/>
        </w:rPr>
        <w:t>- 자동지급 불가한 조건에 해당하여 인심사 배분되는 유형 중 전월대비 삭감/부지급 비율이 5%이상 낮아진 건</w:t>
      </w:r>
    </w:p>
    <w:p>
      <w:pPr>
        <w:spacing w:line="360" w:lineRule="auto"/>
        <w:ind w:firstLine="240"/>
      </w:pPr>
      <w:r>
        <w:rPr>
          <w:rFonts w:ascii="바탕체" w:hAnsi="바탕체" w:eastAsia="바탕체"/>
          <w:b w:val="0"/>
          <w:color w:val="000000"/>
          <w:sz w:val="24"/>
        </w:rPr>
        <w:t xml:space="preserve">- </w:t>
      </w:r>
      <w:r>
        <w:rPr>
          <w:rFonts w:ascii="바탕체" w:hAnsi="바탕체" w:eastAsia="바탕체"/>
          <w:b w:val="0"/>
          <w:color w:val="000000"/>
          <w:sz w:val="24"/>
        </w:rPr>
        <w:t>상위 제외 유형은 계약 비정상상태(E13)이며 전월 대비 -3 (-7.0%)입니다.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61"/>
        <w:gridCol w:w="1461"/>
        <w:gridCol w:w="1461"/>
        <w:gridCol w:w="1461"/>
        <w:gridCol w:w="1461"/>
        <w:gridCol w:w="1461"/>
        <w:gridCol w:w="1461"/>
      </w:tblGrid>
      <w:tr>
        <w:tc>
          <w:tcPr>
            <w:tcW w:type="dxa" w:w="1461"/>
          </w:tcPr>
          <w:p>
            <w:pPr>
              <w:jc w:val="center"/>
            </w:pPr>
            <w:r>
              <w:rPr>
                <w:rFonts w:ascii="바탕체" w:hAnsi="바탕체" w:eastAsia="바탕체"/>
                <w:b/>
                <w:color w:val="000000"/>
                <w:sz w:val="20"/>
              </w:rPr>
              <w:t>순위</w:t>
            </w:r>
          </w:p>
        </w:tc>
        <w:tc>
          <w:tcPr>
            <w:tcW w:type="dxa" w:w="1461"/>
          </w:tcPr>
          <w:p>
            <w:pPr>
              <w:jc w:val="center"/>
            </w:pPr>
            <w:r>
              <w:rPr>
                <w:rFonts w:ascii="바탕체" w:hAnsi="바탕체" w:eastAsia="바탕체"/>
                <w:b/>
                <w:color w:val="000000"/>
                <w:sz w:val="20"/>
              </w:rPr>
              <w:t>코드</w:t>
            </w:r>
          </w:p>
        </w:tc>
        <w:tc>
          <w:tcPr>
            <w:tcW w:type="dxa" w:w="1461"/>
          </w:tcPr>
          <w:p>
            <w:pPr>
              <w:jc w:val="center"/>
            </w:pPr>
            <w:r>
              <w:rPr>
                <w:rFonts w:ascii="바탕체" w:hAnsi="바탕체" w:eastAsia="바탕체"/>
                <w:b/>
                <w:color w:val="000000"/>
                <w:sz w:val="20"/>
              </w:rPr>
              <w:t>유형명</w:t>
            </w:r>
          </w:p>
        </w:tc>
        <w:tc>
          <w:tcPr>
            <w:tcW w:type="dxa" w:w="1461"/>
          </w:tcPr>
          <w:p>
            <w:pPr>
              <w:jc w:val="center"/>
            </w:pPr>
            <w:r>
              <w:rPr>
                <w:rFonts w:ascii="바탕체" w:hAnsi="바탕체" w:eastAsia="바탕체"/>
                <w:b/>
                <w:color w:val="000000"/>
                <w:sz w:val="20"/>
              </w:rPr>
              <w:t>비중</w:t>
            </w:r>
          </w:p>
        </w:tc>
        <w:tc>
          <w:tcPr>
            <w:tcW w:type="dxa" w:w="1461"/>
          </w:tcPr>
          <w:p>
            <w:pPr>
              <w:jc w:val="center"/>
            </w:pPr>
            <w:r>
              <w:rPr>
                <w:rFonts w:ascii="바탕체" w:hAnsi="바탕체" w:eastAsia="바탕체"/>
                <w:b/>
                <w:color w:val="000000"/>
                <w:sz w:val="20"/>
              </w:rPr>
              <w:t>당월</w:t>
            </w:r>
          </w:p>
        </w:tc>
        <w:tc>
          <w:tcPr>
            <w:tcW w:type="dxa" w:w="1461"/>
          </w:tcPr>
          <w:p>
            <w:pPr>
              <w:jc w:val="center"/>
            </w:pPr>
            <w:r>
              <w:rPr>
                <w:rFonts w:ascii="바탕체" w:hAnsi="바탕체" w:eastAsia="바탕체"/>
                <w:b/>
                <w:color w:val="000000"/>
                <w:sz w:val="20"/>
              </w:rPr>
              <w:t>전월</w:t>
            </w:r>
          </w:p>
        </w:tc>
        <w:tc>
          <w:tcPr>
            <w:tcW w:type="dxa" w:w="1461"/>
          </w:tcPr>
          <w:p>
            <w:pPr>
              <w:jc w:val="center"/>
            </w:pPr>
            <w:r>
              <w:rPr>
                <w:rFonts w:ascii="바탕체" w:hAnsi="바탕체" w:eastAsia="바탕체"/>
                <w:b/>
                <w:color w:val="000000"/>
                <w:sz w:val="20"/>
              </w:rPr>
              <w:t>증감</w:t>
            </w:r>
          </w:p>
        </w:tc>
      </w:tr>
      <w:tr>
        <w:tc>
          <w:tcPr>
            <w:tcW w:type="dxa" w:w="1461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0"/>
              </w:rPr>
              <w:t>1</w:t>
            </w:r>
          </w:p>
        </w:tc>
        <w:tc>
          <w:tcPr>
            <w:tcW w:type="dxa" w:w="1461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0"/>
              </w:rPr>
              <w:t>E13</w:t>
            </w:r>
          </w:p>
        </w:tc>
        <w:tc>
          <w:tcPr>
            <w:tcW w:type="dxa" w:w="1461"/>
          </w:tcPr>
          <w:p>
            <w:pPr>
              <w:jc w:val="left"/>
            </w:pPr>
            <w:r>
              <w:rPr>
                <w:rFonts w:ascii="바탕체" w:hAnsi="바탕체" w:eastAsia="바탕체"/>
                <w:b w:val="0"/>
                <w:color w:val="000000"/>
                <w:sz w:val="20"/>
              </w:rPr>
              <w:t>계약 비정상상태</w:t>
            </w:r>
          </w:p>
        </w:tc>
        <w:tc>
          <w:tcPr>
            <w:tcW w:type="dxa" w:w="1461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0"/>
              </w:rPr>
              <w:t>14.2%</w:t>
            </w:r>
          </w:p>
        </w:tc>
        <w:tc>
          <w:tcPr>
            <w:tcW w:type="dxa" w:w="1461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0"/>
              </w:rPr>
              <w:t>40</w:t>
            </w:r>
          </w:p>
        </w:tc>
        <w:tc>
          <w:tcPr>
            <w:tcW w:type="dxa" w:w="1461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0"/>
              </w:rPr>
              <w:t>43</w:t>
            </w:r>
          </w:p>
        </w:tc>
        <w:tc>
          <w:tcPr>
            <w:tcW w:type="dxa" w:w="1461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0"/>
              </w:rPr>
              <w:t>-3 (-7.0%)</w:t>
            </w:r>
          </w:p>
        </w:tc>
      </w:tr>
      <w:tr>
        <w:tc>
          <w:tcPr>
            <w:tcW w:type="dxa" w:w="1461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0"/>
              </w:rPr>
              <w:t>2</w:t>
            </w:r>
          </w:p>
        </w:tc>
        <w:tc>
          <w:tcPr>
            <w:tcW w:type="dxa" w:w="1461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0"/>
              </w:rPr>
              <w:t>E10</w:t>
            </w:r>
          </w:p>
        </w:tc>
        <w:tc>
          <w:tcPr>
            <w:tcW w:type="dxa" w:w="1461"/>
          </w:tcPr>
          <w:p>
            <w:pPr>
              <w:jc w:val="left"/>
            </w:pPr>
            <w:r>
              <w:rPr>
                <w:rFonts w:ascii="바탕체" w:hAnsi="바탕체" w:eastAsia="바탕체"/>
                <w:b w:val="0"/>
                <w:color w:val="000000"/>
                <w:sz w:val="20"/>
              </w:rPr>
              <w:t>고액 청구</w:t>
            </w:r>
          </w:p>
        </w:tc>
        <w:tc>
          <w:tcPr>
            <w:tcW w:type="dxa" w:w="1461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0"/>
              </w:rPr>
              <w:t>10.7%</w:t>
            </w:r>
          </w:p>
        </w:tc>
        <w:tc>
          <w:tcPr>
            <w:tcW w:type="dxa" w:w="1461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0"/>
              </w:rPr>
              <w:t>30</w:t>
            </w:r>
          </w:p>
        </w:tc>
        <w:tc>
          <w:tcPr>
            <w:tcW w:type="dxa" w:w="1461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0"/>
              </w:rPr>
              <w:t>28</w:t>
            </w:r>
          </w:p>
        </w:tc>
        <w:tc>
          <w:tcPr>
            <w:tcW w:type="dxa" w:w="1461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0"/>
              </w:rPr>
              <w:t>2 (+7.1%)</w:t>
            </w:r>
          </w:p>
        </w:tc>
      </w:tr>
      <w:tr>
        <w:tc>
          <w:tcPr>
            <w:tcW w:type="dxa" w:w="1461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0"/>
              </w:rPr>
              <w:t>3</w:t>
            </w:r>
          </w:p>
        </w:tc>
        <w:tc>
          <w:tcPr>
            <w:tcW w:type="dxa" w:w="1461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0"/>
              </w:rPr>
              <w:t>E04</w:t>
            </w:r>
          </w:p>
        </w:tc>
        <w:tc>
          <w:tcPr>
            <w:tcW w:type="dxa" w:w="1461"/>
          </w:tcPr>
          <w:p>
            <w:pPr>
              <w:jc w:val="left"/>
            </w:pPr>
            <w:r>
              <w:rPr>
                <w:rFonts w:ascii="바탕체" w:hAnsi="바탕체" w:eastAsia="바탕체"/>
                <w:b w:val="0"/>
                <w:color w:val="000000"/>
                <w:sz w:val="20"/>
              </w:rPr>
              <w:t>타사 실손 보유</w:t>
            </w:r>
          </w:p>
        </w:tc>
        <w:tc>
          <w:tcPr>
            <w:tcW w:type="dxa" w:w="1461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0"/>
              </w:rPr>
              <w:t>10.0%</w:t>
            </w:r>
          </w:p>
        </w:tc>
        <w:tc>
          <w:tcPr>
            <w:tcW w:type="dxa" w:w="1461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0"/>
              </w:rPr>
              <w:t>28</w:t>
            </w:r>
          </w:p>
        </w:tc>
        <w:tc>
          <w:tcPr>
            <w:tcW w:type="dxa" w:w="1461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0"/>
              </w:rPr>
              <w:t>40</w:t>
            </w:r>
          </w:p>
        </w:tc>
        <w:tc>
          <w:tcPr>
            <w:tcW w:type="dxa" w:w="1461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0"/>
              </w:rPr>
              <w:t>-12 (-30.0%)</w:t>
            </w:r>
          </w:p>
        </w:tc>
      </w:tr>
      <w:tr>
        <w:tc>
          <w:tcPr>
            <w:tcW w:type="dxa" w:w="1461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0"/>
              </w:rPr>
              <w:t>4</w:t>
            </w:r>
          </w:p>
        </w:tc>
        <w:tc>
          <w:tcPr>
            <w:tcW w:type="dxa" w:w="1461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0"/>
              </w:rPr>
              <w:t>E09</w:t>
            </w:r>
          </w:p>
        </w:tc>
        <w:tc>
          <w:tcPr>
            <w:tcW w:type="dxa" w:w="1461"/>
          </w:tcPr>
          <w:p>
            <w:pPr>
              <w:jc w:val="left"/>
            </w:pPr>
            <w:r>
              <w:rPr>
                <w:rFonts w:ascii="바탕체" w:hAnsi="바탕체" w:eastAsia="바탕체"/>
                <w:b w:val="0"/>
                <w:color w:val="000000"/>
                <w:sz w:val="20"/>
              </w:rPr>
              <w:t>유의병원</w:t>
            </w:r>
          </w:p>
        </w:tc>
        <w:tc>
          <w:tcPr>
            <w:tcW w:type="dxa" w:w="1461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0"/>
              </w:rPr>
              <w:t>8.5%</w:t>
            </w:r>
          </w:p>
        </w:tc>
        <w:tc>
          <w:tcPr>
            <w:tcW w:type="dxa" w:w="1461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0"/>
              </w:rPr>
              <w:t>24</w:t>
            </w:r>
          </w:p>
        </w:tc>
        <w:tc>
          <w:tcPr>
            <w:tcW w:type="dxa" w:w="1461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0"/>
              </w:rPr>
              <w:t>24</w:t>
            </w:r>
          </w:p>
        </w:tc>
        <w:tc>
          <w:tcPr>
            <w:tcW w:type="dxa" w:w="1461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0"/>
              </w:rPr>
              <w:t>0 (+0.0%)</w:t>
            </w:r>
          </w:p>
        </w:tc>
      </w:tr>
      <w:tr>
        <w:tc>
          <w:tcPr>
            <w:tcW w:type="dxa" w:w="1461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0"/>
              </w:rPr>
              <w:t>5</w:t>
            </w:r>
          </w:p>
        </w:tc>
        <w:tc>
          <w:tcPr>
            <w:tcW w:type="dxa" w:w="1461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0"/>
              </w:rPr>
              <w:t>E01</w:t>
            </w:r>
          </w:p>
        </w:tc>
        <w:tc>
          <w:tcPr>
            <w:tcW w:type="dxa" w:w="1461"/>
          </w:tcPr>
          <w:p>
            <w:pPr>
              <w:jc w:val="left"/>
            </w:pPr>
            <w:r>
              <w:rPr>
                <w:rFonts w:ascii="바탕체" w:hAnsi="바탕체" w:eastAsia="바탕체"/>
                <w:b w:val="0"/>
                <w:color w:val="000000"/>
                <w:sz w:val="20"/>
              </w:rPr>
              <w:t>부담보 계약</w:t>
            </w:r>
          </w:p>
        </w:tc>
        <w:tc>
          <w:tcPr>
            <w:tcW w:type="dxa" w:w="1461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0"/>
              </w:rPr>
              <w:t>8.2%</w:t>
            </w:r>
          </w:p>
        </w:tc>
        <w:tc>
          <w:tcPr>
            <w:tcW w:type="dxa" w:w="1461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0"/>
              </w:rPr>
              <w:t>23</w:t>
            </w:r>
          </w:p>
        </w:tc>
        <w:tc>
          <w:tcPr>
            <w:tcW w:type="dxa" w:w="1461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0"/>
              </w:rPr>
              <w:t>29</w:t>
            </w:r>
          </w:p>
        </w:tc>
        <w:tc>
          <w:tcPr>
            <w:tcW w:type="dxa" w:w="1461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0"/>
              </w:rPr>
              <w:t>-6 (-20.7%)</w:t>
            </w:r>
          </w:p>
        </w:tc>
      </w:tr>
    </w:tbl>
    <w:p/>
    <w:p>
      <w:r>
        <w:rPr>
          <w:rFonts w:ascii="바탕체" w:hAnsi="바탕체" w:eastAsia="바탕체"/>
          <w:b/>
          <w:color w:val="000000"/>
          <w:sz w:val="24"/>
        </w:rPr>
        <w:t xml:space="preserve">4. </w:t>
      </w:r>
      <w:r>
        <w:rPr>
          <w:rFonts w:ascii="바탕체" w:hAnsi="바탕체" w:eastAsia="바탕체"/>
          <w:b/>
          <w:color w:val="000000"/>
          <w:sz w:val="24"/>
        </w:rPr>
        <w:t>Action Item</w:t>
      </w:r>
    </w:p>
    <w:p>
      <w:pPr>
        <w:spacing w:line="360" w:lineRule="auto"/>
        <w:ind w:firstLine="240"/>
      </w:pPr>
      <w:r>
        <w:rPr>
          <w:rFonts w:ascii="바탕체" w:hAnsi="바탕체" w:eastAsia="바탕체"/>
          <w:b w:val="0"/>
          <w:color w:val="000000"/>
          <w:sz w:val="24"/>
        </w:rPr>
        <w:t xml:space="preserve">- </w:t>
      </w:r>
      <w:r>
        <w:rPr>
          <w:rFonts w:ascii="바탕체" w:hAnsi="바탕체" w:eastAsia="바탕체"/>
          <w:b w:val="0"/>
          <w:color w:val="000000"/>
          <w:sz w:val="24"/>
        </w:rPr>
        <w:t>전월 대비 자동지급률 상승을 주도한 청구 특성 요소의 분포를 재확인한다.</w:t>
      </w:r>
    </w:p>
    <w:p>
      <w:pPr>
        <w:spacing w:line="360" w:lineRule="auto"/>
        <w:ind w:firstLine="240"/>
      </w:pPr>
      <w:r>
        <w:rPr>
          <w:rFonts w:ascii="바탕체" w:hAnsi="바탕체" w:eastAsia="바탕체"/>
          <w:b w:val="0"/>
          <w:color w:val="000000"/>
          <w:sz w:val="24"/>
        </w:rPr>
        <w:t xml:space="preserve">- </w:t>
      </w:r>
      <w:r>
        <w:rPr>
          <w:rFonts w:ascii="바탕체" w:hAnsi="바탕체" w:eastAsia="바탕체"/>
          <w:b w:val="0"/>
          <w:color w:val="000000"/>
          <w:sz w:val="24"/>
        </w:rPr>
        <w:t>factor 변화가 큰 항목은 운영관리자가 추가 확인한다.</w:t>
      </w:r>
    </w:p>
    <w:p>
      <w:pPr>
        <w:spacing w:line="360" w:lineRule="auto"/>
        <w:ind w:firstLine="240"/>
      </w:pPr>
      <w:r>
        <w:rPr>
          <w:rFonts w:ascii="바탕체" w:hAnsi="바탕체" w:eastAsia="바탕체"/>
          <w:b w:val="0"/>
          <w:color w:val="000000"/>
          <w:sz w:val="24"/>
        </w:rPr>
        <w:t xml:space="preserve">- </w:t>
      </w:r>
      <w:r>
        <w:rPr>
          <w:rFonts w:ascii="바탕체" w:hAnsi="바탕체" w:eastAsia="바탕체"/>
          <w:b w:val="0"/>
          <w:color w:val="000000"/>
          <w:sz w:val="24"/>
        </w:rPr>
        <w:t>인심사 건수와 제외 건수가 늘어난 채널은 별도 모니터링 대상으로 둔다.</w:t>
      </w:r>
    </w:p>
    <w:sectPr w:rsidR="00FC693F" w:rsidRPr="0006063C" w:rsidSect="00034616">
      <w:pgSz w:w="12240" w:h="15840"/>
      <w:pgMar w:top="936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바탕체" w:hAnsi="바탕체" w:eastAsia="바탕체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바탕체" w:hAnsi="바탕체" w:eastAsia="바탕체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바탕체" w:hAnsi="바탕체" w:eastAsia="바탕체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바탕체" w:hAnsi="바탕체" w:eastAsia="바탕체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바탕체" w:hAnsi="바탕체" w:eastAsia="바탕체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