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'26.04月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'26.04.1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'26.04.30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2026-04 기준 자동지급률은 33.79%이고 처리효율은 58.60%입니다.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segment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1,761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-57 (-3.1%)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1,032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-46 (-4.3%)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595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-27 (-4.3%)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1,166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-30 (-2.5%)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33.79%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-0.42pp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58.60%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-0.70pp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220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+1.0pp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16.8%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+1.8pp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85.9%입니다.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298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85.9%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-0.1pp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49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14.1%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+0.1pp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비대면 소액 통원(A01)이며 전월 대비 10 (+17.2%)입니다.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19.6%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 (+17.2%)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 (+18.0%)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 (+37.2%)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16.7%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-8 (-12.1%)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-6 (-12.5%)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1 (+3.6%)입니다.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12.3%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 (+3.6%)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 (+78.6%)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E08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단기 다발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 (+108.3%)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E12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장기 입원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-3 (-13.0%)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E10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고액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(+17.6%)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유형의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segment 변경 사유가 `원인 확인 필요`로 남은 건은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