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'25.02月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'25.02.1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'25.02.28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2025-02 기준 자동지급률은 27.22%이고 처리효율은 59.70%입니다.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1,980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256 (+14.8%)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1,182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182 (+18.2%)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539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99 (+22.5%)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1,441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157 (+12.2%)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27.22%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+1.70pp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59.70%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+1.70pp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미확정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552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195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35.3%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+3.5pp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12.5%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+0.9pp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83.9%입니다.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245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83.9%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-0.1pp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16.1%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+0.1pp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31.9%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35.3%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31.9% → 35.3%로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36.2%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40.7%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+4.5pp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36.2% → 40.7%로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45.2%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+5.2pp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40.0% → 45.2%로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J20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49.0%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62.5%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+13.5pp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J20의 자동지급률이 49.0% → 62.5%로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3 (+6.4%)입니다.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(+6.4%)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 (+13.9%)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-12 (-20.3%)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 (+56.7%)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 (+76.2%)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타사 실손 보유(E04)이며 전월 대비 16 (+64.0%)입니다.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 (+64.0%)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-22 (-40.0%)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(+21.7%)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 (-7.4%)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장기 입원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(+27.8%)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