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'25.04月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'25.04.1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'25.04.30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2025-04 기준 자동지급률은 28.47%이고 처리효율은 58.03%입니다.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1,763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-216 (-10.9%)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1,023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-153 (-13.0%)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-20 (-3.8%)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1,261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-196 (-13.4%)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28.47%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+2.09pp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58.03%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-1.39pp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567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210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+8.6pp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395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9.1%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-0.2pp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84.5%입니다.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240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84.5%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-0.5pp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44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15.5%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+0.5pp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+8.6pp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28.4% → 37.0%로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37.1%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+3.4pp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37.1% → 40.5%로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6.8%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+4.4pp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종합병원의 자동지급률이 6.8% → 11.2%로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J00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53.6%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+16.3pp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J00의 자동지급률이 37.3% → 53.6%로 상승했습니다.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급여 단순건(A06)이며 전월 대비 22 (+53.7%)입니다.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22.2%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22 (+53.7%)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 (+32.4%)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 (+73.9%)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13.4%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-37 (-49.3%)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-2 (-5.3%)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-3 (-7.9%)입니다.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 (-7.9%)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 (+18.5%)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(+10.7%)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 (-3.5%)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면책기간 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 (+52.9%)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