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바탕체" w:hAnsi="바탕체" w:eastAsia="바탕체"/>
          <w:b/>
          <w:color w:val="000000"/>
          <w:sz w:val="48"/>
          <w:u w:val="single"/>
        </w:rPr>
        <w:t>자동지급 현황 월간 보고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'25.05月</w:t>
      </w:r>
    </w:p>
    <w:p>
      <w:pPr>
        <w:jc w:val="right"/>
      </w:pPr>
      <w:r>
        <w:rPr>
          <w:rFonts w:ascii="바탕체" w:hAnsi="바탕체" w:eastAsia="바탕체"/>
          <w:b w:val="0"/>
          <w:color w:val="000000"/>
          <w:sz w:val="24"/>
        </w:rPr>
        <w:t>보험금심사팀</w:t>
      </w:r>
    </w:p>
    <w:p>
      <w:r>
        <w:rPr>
          <w:rFonts w:ascii="바탕체" w:hAnsi="바탕체" w:eastAsia="바탕체"/>
          <w:b/>
          <w:color w:val="000000"/>
          <w:sz w:val="24"/>
        </w:rPr>
        <w:t xml:space="preserve">1. </w:t>
      </w:r>
      <w:r>
        <w:rPr>
          <w:rFonts w:ascii="바탕체" w:hAnsi="바탕체" w:eastAsia="바탕체"/>
          <w:b/>
          <w:color w:val="000000"/>
          <w:sz w:val="24"/>
        </w:rPr>
        <w:t>요 약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전체 처리현황</w:t>
      </w:r>
    </w:p>
    <w:p>
      <w:pPr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기 간: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'25.05.1</w:t>
      </w:r>
      <w:r>
        <w:rPr>
          <w:rFonts w:ascii="바탕체" w:hAnsi="바탕체" w:eastAsia="바탕체"/>
          <w:b w:val="0"/>
          <w:color w:val="000000"/>
          <w:sz w:val="24"/>
        </w:rPr>
        <w:t xml:space="preserve"> ~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'25.05.31</w:t>
      </w:r>
      <w:r>
        <w:rPr>
          <w:rFonts w:ascii="바탕체" w:hAnsi="바탕체" w:eastAsia="바탕체"/>
          <w:b w:val="0"/>
          <w:color w:val="000000"/>
          <w:sz w:val="24"/>
        </w:rPr>
        <w:t xml:space="preserve"> (1개월)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2025-05 기준 자동지급률은 27.59%이고 처리효율은 60.07%입니다.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청구 특성 변화는 일부 있지만 전체 상태는 허용 범위 내로 판단되어 안정 상태로 표시했습니다.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항목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총 청구건수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1,881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118 (+6.7%)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대상건수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1,130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107 (+10.5%)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519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17 (+3.4%)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제외/인심사 건수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1,362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101 (+8.0%)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자동지급률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27.59%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-0.88pp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처리효율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60.07%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+2.04pp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운영상태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안정</w:t>
            </w:r>
          </w:p>
        </w:tc>
        <w:tc>
          <w:tcPr>
            <w:tcW w:type="dxa" w:w="3408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유지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접수채널별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접수채널 중 실손24 채널의 자동지급 비율이 가장 높고, 해당 채널의 전환 흐름이 전체 처리현황을 주도합니다.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접수채널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전체 청구건수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 비율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535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180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33.6%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-3.4pp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425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65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15.3%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+6.2pp</w:t>
            </w:r>
          </w:p>
        </w:tc>
      </w:tr>
      <w:tr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실손24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100.0%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+0.0pp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진료구분별 처리현황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진료구분 중 통원이 자동지급 건의 중심이며 비중은 85.6%입니다.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진료구분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자동지급건수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비율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전월比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244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85.6%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+1.1pp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입원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41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14.4%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-1.1pp</w:t>
            </w:r>
          </w:p>
        </w:tc>
      </w:tr>
    </w:tbl>
    <w:p>
      <w:r>
        <w:rPr>
          <w:rFonts w:ascii="바탕체" w:hAnsi="바탕체" w:eastAsia="바탕체"/>
          <w:b/>
          <w:color w:val="000000"/>
          <w:sz w:val="24"/>
        </w:rPr>
        <w:t xml:space="preserve">2. </w:t>
      </w:r>
      <w:r>
        <w:rPr>
          <w:rFonts w:ascii="바탕체" w:hAnsi="바탕체" w:eastAsia="바탕체"/>
          <w:b/>
          <w:color w:val="000000"/>
          <w:sz w:val="24"/>
        </w:rPr>
        <w:t>청구 특성 변화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자동지급률을 변화시킨 청구 특성 요소를 점검합니다.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청구 특성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주요 변화값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전월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당월 자동지급률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변화(pp)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4"/>
              </w:rPr>
              <w:t>해석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접수채널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9.1%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15.3%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+6.2pp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비대면의 자동지급률이 9.1% → 15.3%로 상승했습니다.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진료구분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40.5%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40.0%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-0.5pp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통원의 자동지급률이 40.5% → 40.0%로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병원종별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종합병원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11.2%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9.2%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-2.0pp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종합병원의 자동지급률이 11.2% → 9.2%로 하락했습니다.</w:t>
            </w:r>
          </w:p>
        </w:tc>
      </w:tr>
      <w:tr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주상병코드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S93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47.3%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56.5%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+9.2pp</w:t>
            </w:r>
          </w:p>
        </w:tc>
        <w:tc>
          <w:tcPr>
            <w:tcW w:type="dxa" w:w="1704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4"/>
              </w:rPr>
              <w:t>S93의 자동지급률이 47.3% → 56.5%로 상승했습니다.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3. </w:t>
      </w:r>
      <w:r>
        <w:rPr>
          <w:rFonts w:ascii="바탕체" w:hAnsi="바탕체" w:eastAsia="바탕체"/>
          <w:b/>
          <w:color w:val="000000"/>
          <w:sz w:val="24"/>
        </w:rPr>
        <w:t>유형별 상세 현황</w:t>
      </w:r>
    </w:p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자동지급 유형은 비대면 소액 통원(A01)이며 전월 대비 29 (+80.6%)입니다.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비대면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22.8%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36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29 (+80.6%)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A06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급여 단순건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17.2%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63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-14 (-22.2%)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통원 급여전용건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15.8%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-4 (-8.2%)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실손24 소액건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14.0%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 (+5.3%)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A07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경증 단일진단 소액 통원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11.2%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-8 (-20.0%)</w:t>
            </w:r>
          </w:p>
        </w:tc>
      </w:tr>
    </w:tbl>
    <w:p/>
    <w:p>
      <w:r>
        <w:rPr>
          <w:rFonts w:ascii="Segoe UI Symbol" w:hAnsi="Segoe UI Symbol" w:eastAsia="Segoe UI Symbol"/>
          <w:b w:val="0"/>
          <w:color w:val="000000"/>
          <w:sz w:val="24"/>
        </w:rPr>
        <w:t>☐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자동지급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제외</w:t>
      </w:r>
      <w:r>
        <w:rPr>
          <w:rFonts w:ascii="바탕체" w:hAnsi="바탕체" w:eastAsia="바탕체"/>
          <w:b w:val="0"/>
          <w:color w:val="000000"/>
          <w:sz w:val="24"/>
        </w:rPr>
        <w:t xml:space="preserve"> </w:t>
      </w:r>
      <w:r>
        <w:rPr>
          <w:rFonts w:ascii="바탕체" w:hAnsi="바탕체" w:eastAsia="바탕체"/>
          <w:b w:val="0"/>
          <w:color w:val="000000"/>
          <w:sz w:val="24"/>
        </w:rPr>
        <w:t>유형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>- 자동지급 불가한 조건에 해당하여 인심사 배분되는 유형 중 전월대비 삭감/부지급 비율이 5%이상 낮아진 건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상위 제외 유형은 계약 비정상상태(E13)이며 전월 대비 5 (+14.3%)입니다.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순위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코드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유형명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비중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당월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전월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/>
                <w:color w:val="000000"/>
                <w:sz w:val="20"/>
              </w:rPr>
              <w:t>증감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E13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계약 비정상상태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12.1%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 (+14.3%)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E04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타사 실손 보유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9.7%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32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0 (+0.0%)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E08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단기 다발 청구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9.1%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30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 (+7.1%)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E07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비급여 과다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8.8%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29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31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-2 (-6.5%)</w:t>
            </w:r>
          </w:p>
        </w:tc>
      </w:tr>
      <w:tr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E01</w:t>
            </w:r>
          </w:p>
        </w:tc>
        <w:tc>
          <w:tcPr>
            <w:tcW w:type="dxa" w:w="1461"/>
          </w:tcPr>
          <w:p>
            <w:pPr>
              <w:jc w:val="left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부담보 계약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8.5%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28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1461"/>
          </w:tcPr>
          <w:p>
            <w:pPr>
              <w:jc w:val="center"/>
            </w:pPr>
            <w:r>
              <w:rPr>
                <w:rFonts w:ascii="바탕체" w:hAnsi="바탕체" w:eastAsia="바탕체"/>
                <w:b w:val="0"/>
                <w:color w:val="000000"/>
                <w:sz w:val="20"/>
              </w:rPr>
              <w:t>10 (+55.6%)</w:t>
            </w:r>
          </w:p>
        </w:tc>
      </w:tr>
    </w:tbl>
    <w:p/>
    <w:p>
      <w:r>
        <w:rPr>
          <w:rFonts w:ascii="바탕체" w:hAnsi="바탕체" w:eastAsia="바탕체"/>
          <w:b/>
          <w:color w:val="000000"/>
          <w:sz w:val="24"/>
        </w:rPr>
        <w:t xml:space="preserve">4. </w:t>
      </w:r>
      <w:r>
        <w:rPr>
          <w:rFonts w:ascii="바탕체" w:hAnsi="바탕체" w:eastAsia="바탕체"/>
          <w:b/>
          <w:color w:val="000000"/>
          <w:sz w:val="24"/>
        </w:rPr>
        <w:t>Action Item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전월 대비 자동지급률 상승을 주도한 청구 특성 요소의 분포를 재확인한다.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factor 변화가 큰 항목은 운영관리자가 추가 확인한다.</w:t>
      </w:r>
    </w:p>
    <w:p>
      <w:pPr>
        <w:spacing w:line="360" w:lineRule="auto"/>
        <w:ind w:firstLine="240"/>
      </w:pPr>
      <w:r>
        <w:rPr>
          <w:rFonts w:ascii="바탕체" w:hAnsi="바탕체" w:eastAsia="바탕체"/>
          <w:b w:val="0"/>
          <w:color w:val="000000"/>
          <w:sz w:val="24"/>
        </w:rPr>
        <w:t xml:space="preserve">- </w:t>
      </w:r>
      <w:r>
        <w:rPr>
          <w:rFonts w:ascii="바탕체" w:hAnsi="바탕체" w:eastAsia="바탕체"/>
          <w:b w:val="0"/>
          <w:color w:val="000000"/>
          <w:sz w:val="24"/>
        </w:rPr>
        <w:t>인심사 건수와 제외 건수가 늘어난 채널은 별도 모니터링 대상으로 둔다.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바탕체" w:hAnsi="바탕체" w:eastAsia="바탕체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바탕체" w:hAnsi="바탕체" w:eastAsia="바탕체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바탕체" w:hAnsi="바탕체" w:eastAsia="바탕체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