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'25.06月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'25.06.1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'25.06.30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2025-06 기준 자동지급률은 29.71%이고 처리효율은 61.00%입니다.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청구 특성 변화는 일부 있지만 전체 상태는 허용 범위 내로 판단되어 안정 상태로 표시했습니다.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1,895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14 (+0.7%)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1,156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26 (+2.3%)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563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44 (+8.5%)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1,332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-30 (-2.2%)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29.71%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+2.12pp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61.00%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+0.93pp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585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219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37.4%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+3.8pp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368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42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11.4%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-3.9pp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47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47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86.4%입니다.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266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86.4%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+0.8pp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42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13.6%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-0.8pp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청구 특성 변화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자동지급률을 변화시킨 청구 특성 요소를 점검합니다.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청구 특성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주요 변화값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변화(pp)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해석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접수채널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15.3%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11.4%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-3.9pp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비대면의 자동지급률이 15.3% → 11.4%로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진료구분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42.6%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+2.6pp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통원의 자동지급률이 40.0% → 42.6%로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병원종별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의원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43.6%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48.3%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+4.7pp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의원의 자동지급률이 43.6% → 48.3%로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주상병코드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K21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21.3%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42.6%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+21.4pp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K21의 자동지급률이 21.3% → 42.6%로 상승했습니다.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급여 단순건(A06)이며 전월 대비 17 (+34.7%)입니다.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21.4%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 (+34.7%)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 (+15.6%)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15.3%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 (+17.5%)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경증 단일진단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 (+34.4%)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-23 (-35.4%)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계약 비정상상태(E13)이며 전월 대비 -1 (-2.5%)입니다.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 (-2.5%)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 (+6.2%)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과다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 (+6.9%)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부담보 계약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 (+7.1%)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면책·분쟁 KCD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 (+41.2%)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4.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청구 특성 요소의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factor 변화가 큰 항목은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