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'25.07月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'25.07.1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'25.07.31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2025-07 기준 자동지급률은 28.82%이고 처리효율은 60.62%입니다.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1,714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-181 (-9.6%)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1,039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-117 (-10.1%)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-69 (-12.3%)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1,220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-112 (-8.4%)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28.82%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-0.89pp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60.62%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-0.38pp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189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34.5%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-2.9pp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84.3%입니다.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241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84.3%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-2.1pp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15.7%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+2.1pp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34.5%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37.4% → 34.5%로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-2.4pp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42.6% → 40.2%로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6.8%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종합병원의 자동지급률이 9.3% → 6.8%로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K21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22.7%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-20.0pp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K21의 자동지급률이 42.6% → 22.7%로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14 (+33.3%)입니다.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 (+33.3%)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-16 (-24.2%)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-7 (-13.5%)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(-12.8%)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-8 (-18.6%)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고액 청구(E10)이며 전월 대비 19 (+79.2%)입니다.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E10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고액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 (+79.2%)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(+8.8%)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(+6.5%)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-9 (-23.1%)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주사료 고액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(+42.9%)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