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'25.09月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'25.09.1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'25.09.30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2025-09 기준 자동지급률은 29.52%이고 처리효율은 59.20%입니다.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1,897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-28 (-1.4%)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1,123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-20 (-1.8%)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-29 (-4.9%)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1,337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 (+0.1%)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29.52%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-1.08pp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59.20%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-0.18pp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188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-1.7pp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+1.5pp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83.4%입니다.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246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83.4%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-0.6pp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16.6%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+0.6pp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37.0% → 35.3%로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43.5% → 40.6%로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종합병원의 자동지급률이 8.9% → 10.0%로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13.7%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-15.5pp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N39의 자동지급률이 29.2% → 13.7%로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10 (+18.2%)입니다.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(+18.2%)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(-11.1%)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(-6.7%)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(-13.3%)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20 (+64.5%)입니다.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 (+64.5%)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(+37.5%)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면책기간 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(+45.0%)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(+12.5%)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현장조사 이력 고객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(+62.5%)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