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'26.01月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'26.01.1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'26.01.31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2026-01 기준 자동지급률은 26.48%이고 처리효율은 60.71%입니다.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이번 월은 청구 특성 또는 비율 변화가 커서 운영 해석을 함께 확인할 필요가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1,896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 (+0.5%)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1,151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 (+0.5%)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-102 (-16.9%)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1,394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111 (+8.7%)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26.48%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-5.53pp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60.71%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+0.03pp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변화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29.4%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-11.1pp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13.9%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-0.3pp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88.1%입니다.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223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88.1%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+3.8pp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11.9%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-3.8pp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-11.1pp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40.5% → 29.4%로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-6.3pp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입원의 자동지급률이 13.3% → 7.0%로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-8.0pp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의원의 자동지급률이 50.0% → 42.0%로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-17.0pp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M75의 자동지급률이 47.9% → 30.9%로 하락했습니다.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비대면 소액 통원(A01)이며 전월 대비 5 (+8.9%)입니다.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 (+8.9%)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-30 (-36.6%)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(+22.6%)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-8 (-19.5%)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-10 (-24.4%)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15 (+53.6%)입니다.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 (+53.6%)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 (+11.1%)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면책·분쟁 KCD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 (+68.4%)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 (+61.1%)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 (+61.1%)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