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'26.03月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'26.03.1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'26.03.31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2026-03 기준 자동지급률은 34.21%이고 처리효율은 59.30%입니다.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1,818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 (+2.6%)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1,078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 (+0.1%)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622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 (+5.1%)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1,196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16 (+1.4%)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34.21%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+0.80pp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59.30%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-1.48pp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변화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570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228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-1.1pp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387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+2.8pp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43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86.0%입니다.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283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86.0%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-0.7pp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14.0%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+0.7pp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12.2%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+2.8pp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비대면의 자동지급률이 12.2% → 15.0%로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-0.9pp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47.2% → 46.3%로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+1.6pp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병원의 자동지급률이 2.5% → 4.0%로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32.9%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-26.3pp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M75의 자동지급률이 59.1% → 32.9%로 하락했습니다.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7 (+11.9%)입니다.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20.1%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(+11.9%)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 (+26.1%)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 (+29.7%)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-5 (-10.4%)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-12 (-30.0%)입니다.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-12 (-30.0%)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 (-3.6%)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E09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유의병원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11.3%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 (+12.5%)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E12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장기 입원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 (+109.1%)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면책·분쟁 KCD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 (+69.2%)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