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3F9E3">
      <w:pPr>
        <w:pStyle w:val="5"/>
        <w:bidi w:val="0"/>
      </w:pPr>
      <w:r>
        <w:rPr>
          <w:rFonts w:hint="default"/>
        </w:rPr>
        <w:t>1. 基于 Meta-Baseline 的光谱特征预训练 (参考 Paper 1 &amp; 4)</w:t>
      </w:r>
    </w:p>
    <w:p w14:paraId="1519332F">
      <w:pPr>
        <w:rPr>
          <w:rFonts w:hint="default"/>
        </w:rPr>
      </w:pPr>
      <w:r>
        <w:rPr>
          <w:rFonts w:hint="default"/>
          <w:b/>
          <w:bCs/>
        </w:rPr>
        <w:t>痛点：</w:t>
      </w:r>
      <w:r>
        <w:rPr>
          <w:rFonts w:hint="default"/>
        </w:rPr>
        <w:t>LSPR光谱数据获取成本高（小样本场景）。正如文献4（Mind the Data Gap）指出的，在小数据体系下，视觉/光谱特征模型往往比复杂的通用多模态大模型表现更好。</w:t>
      </w:r>
    </w:p>
    <w:p w14:paraId="611B4BD4">
      <w:pPr>
        <w:rPr>
          <w:rFonts w:hint="default"/>
        </w:rPr>
      </w:pPr>
      <w:r>
        <w:rPr>
          <w:rFonts w:hint="default"/>
          <w:b/>
          <w:bCs/>
        </w:rPr>
        <w:t>策略：</w:t>
      </w:r>
      <w:r>
        <w:rPr>
          <w:rFonts w:hint="default"/>
        </w:rPr>
        <w:t>借鉴文献1（Meta-Baseline）的思想，我们可以先利用大量理论仿真光谱（通过Mie理论）进行 Whole-classification 预训练，学习到一个强大的“光谱特征嵌入空间（Embedding Space）”。</w:t>
      </w:r>
    </w:p>
    <w:p w14:paraId="44DDB7A3">
      <w:pPr>
        <w:rPr>
          <w:rFonts w:hint="default"/>
        </w:rPr>
      </w:pPr>
      <w:r>
        <w:rPr>
          <w:rFonts w:hint="default"/>
          <w:b/>
          <w:bCs/>
        </w:rPr>
        <w:t>应用：</w:t>
      </w:r>
      <w:r>
        <w:rPr>
          <w:rFonts w:hint="default"/>
        </w:rPr>
        <w:t>在面对实际患者样本（如检测特定癌症标志物）时，只需极少量（Few-Shot）实验数据，即可在此预训练模型上进行微调或直接使用余弦相似度进行分类/浓度回归。</w:t>
      </w:r>
    </w:p>
    <w:p w14:paraId="202851EB">
      <w:pPr>
        <w:pStyle w:val="5"/>
        <w:bidi w:val="0"/>
        <w:jc w:val="left"/>
        <w:rPr>
          <w:rFonts w:hint="eastAsia" w:eastAsia="宋体"/>
          <w:lang w:eastAsia="zh-CN"/>
        </w:rPr>
      </w:pPr>
      <w:r>
        <w:rPr>
          <w:rFonts w:hint="default"/>
        </w:rPr>
        <w:t>2. 利用条件生成对抗网络（cGAN）应对极度稀疏数据 (参考 Paper 5)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选做</w:t>
      </w:r>
      <w:r>
        <w:rPr>
          <w:rFonts w:hint="eastAsia"/>
          <w:lang w:eastAsia="zh-CN"/>
        </w:rPr>
        <w:t>）</w:t>
      </w:r>
    </w:p>
    <w:p w14:paraId="54A41B7A">
      <w:pPr>
        <w:rPr>
          <w:rFonts w:hint="default"/>
        </w:rPr>
      </w:pPr>
      <w:r>
        <w:rPr>
          <w:rFonts w:hint="default"/>
          <w:b/>
          <w:bCs/>
        </w:rPr>
        <w:t>痛点：</w:t>
      </w:r>
      <w:r>
        <w:rPr>
          <w:rFonts w:hint="default"/>
        </w:rPr>
        <w:t>特定浓度梯度的实验光谱极度缺乏。</w:t>
      </w:r>
    </w:p>
    <w:p w14:paraId="4DEF1B8A">
      <w:pPr>
        <w:rPr>
          <w:rFonts w:hint="default"/>
        </w:rPr>
      </w:pPr>
      <w:r>
        <w:rPr>
          <w:rFonts w:hint="default"/>
          <w:b/>
          <w:bCs/>
        </w:rPr>
        <w:t>策略：</w:t>
      </w:r>
      <w:r>
        <w:rPr>
          <w:rFonts w:hint="default"/>
        </w:rPr>
        <w:t>引入文献5（SPARSE Data, Rich Results）的半监督类条件图像/信号转换框架。我们不从纯噪声生成光谱，而是输入高浓度（或Blank对照组）的光谱，结合条件标签（如目标浓度），使用生成器推导出低浓度下的微小LSPR峰位红移（Red-shift）和吸光度变化。</w:t>
      </w:r>
    </w:p>
    <w:p w14:paraId="441D6237">
      <w:pPr>
        <w:rPr>
          <w:rFonts w:hint="default"/>
        </w:rPr>
      </w:pPr>
      <w:r>
        <w:rPr>
          <w:rFonts w:hint="default"/>
          <w:b/>
          <w:bCs/>
        </w:rPr>
        <w:t>意义：</w:t>
      </w:r>
      <w:r>
        <w:rPr>
          <w:rFonts w:hint="default"/>
        </w:rPr>
        <w:t>这不仅扩充了你的训练集，还能帮助发现LSPR在极限检测下限（LOD）附近的物理化学非线性响应规律。</w:t>
      </w:r>
    </w:p>
    <w:p w14:paraId="30886C75">
      <w:pPr>
        <w:rPr>
          <w:rFonts w:hint="default"/>
        </w:rPr>
      </w:pPr>
      <w:r>
        <w:rPr>
          <w:rFonts w:hint="default"/>
          <w:b/>
          <w:bCs/>
        </w:rPr>
        <w:t>何时启动：</w:t>
      </w:r>
      <w:r>
        <w:rPr>
          <w:rFonts w:hint="default"/>
        </w:rPr>
        <w:t>当第四步跑通后，如果你发现你的软件在极低浓度（例如 $&lt; 1 \text{ ng/mL}$）下，因为缺乏实验数据而预测不准。</w:t>
      </w:r>
    </w:p>
    <w:p w14:paraId="3CCFB9E5">
      <w:pPr>
        <w:rPr>
          <w:rFonts w:hint="default"/>
        </w:rPr>
      </w:pPr>
      <w:r>
        <w:rPr>
          <w:rFonts w:hint="default"/>
          <w:b/>
          <w:bCs/>
        </w:rPr>
        <w:t>目标：</w:t>
      </w:r>
      <w:r>
        <w:rPr>
          <w:rFonts w:hint="default"/>
        </w:rPr>
        <w:t>利用条件生成对抗网络（cGAN），将高浓度的明显光谱，合理推演出低浓度下的微弱变化光谱，以此喂给模型进行微调，突破传感器的物理检测下限（LOD）。</w:t>
      </w:r>
    </w:p>
    <w:p w14:paraId="44D0F44F">
      <w:pPr>
        <w:pStyle w:val="5"/>
        <w:bidi w:val="0"/>
        <w:jc w:val="left"/>
        <w:rPr>
          <w:rFonts w:hint="default"/>
        </w:rPr>
      </w:pPr>
      <w:r>
        <w:rPr>
          <w:rFonts w:hint="default"/>
        </w:rPr>
        <w:t>3. 无对齐时序匹配用于结合动力学分析 (参考 Paper 3)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选做</w:t>
      </w:r>
      <w:r>
        <w:rPr>
          <w:rFonts w:hint="eastAsia"/>
          <w:lang w:eastAsia="zh-CN"/>
        </w:rPr>
        <w:t>）</w:t>
      </w:r>
    </w:p>
    <w:p w14:paraId="218805FA">
      <w:pPr>
        <w:rPr>
          <w:rFonts w:hint="default"/>
        </w:rPr>
      </w:pPr>
      <w:r>
        <w:rPr>
          <w:rFonts w:hint="default"/>
          <w:b/>
          <w:bCs/>
        </w:rPr>
        <w:t>痛点：</w:t>
      </w:r>
      <w:r>
        <w:rPr>
          <w:rFonts w:hint="default"/>
        </w:rPr>
        <w:t>实时LSPR传感图（Sensogram）记录了抗原-抗体结合的动力学过程（Association &amp; Dissociation）。但在实际操作中，进样时间、流速微小波动会导致曲线在时间轴上无法完美对齐。</w:t>
      </w:r>
    </w:p>
    <w:p w14:paraId="0A95DCFF">
      <w:pPr>
        <w:rPr>
          <w:rFonts w:hint="default"/>
        </w:rPr>
      </w:pPr>
      <w:r>
        <w:rPr>
          <w:rFonts w:hint="default"/>
          <w:b/>
          <w:bCs/>
        </w:rPr>
        <w:t>策略：</w:t>
      </w:r>
      <w:r>
        <w:rPr>
          <w:rFonts w:hint="default"/>
        </w:rPr>
        <w:t>提取文献3（Temporal Alignment-Free Video Matching）中的TEAM无对齐匹配理念。我们将1D时序光谱特征化为一系列“模式Token”。在比较两条动力学曲线时，抛弃传统的动态时间规整（DTW），而是计算Token级别的相似度。</w:t>
      </w:r>
    </w:p>
    <w:p w14:paraId="1FB760F4">
      <w:pPr>
        <w:rPr>
          <w:rFonts w:hint="default"/>
        </w:rPr>
      </w:pPr>
      <w:r>
        <w:rPr>
          <w:rFonts w:hint="default"/>
          <w:b/>
          <w:bCs/>
        </w:rPr>
        <w:t>物理意义：</w:t>
      </w:r>
      <w:r>
        <w:rPr>
          <w:rFonts w:hint="default"/>
        </w:rPr>
        <w:t>直接捕捉高维空间中的 $K_{on}$（结合速率常数）和 $K_{off}$（解离速率常数）的内在特征，而不被实验操作带来的时间延迟所干扰。</w:t>
      </w:r>
    </w:p>
    <w:p w14:paraId="0CA9CBEE">
      <w:pPr>
        <w:rPr>
          <w:rFonts w:hint="default"/>
        </w:rPr>
      </w:pPr>
      <w:r>
        <w:rPr>
          <w:rFonts w:hint="default"/>
          <w:b/>
          <w:bCs/>
        </w:rPr>
        <w:t>何时启动：</w:t>
      </w:r>
      <w:r>
        <w:rPr>
          <w:rFonts w:hint="default"/>
        </w:rPr>
        <w:t>当你的课题从“测定终点浓度（静态光谱）”升级为“分析抗原-抗体结合速率（动态 Sensogram 曲线）”时。</w:t>
      </w:r>
    </w:p>
    <w:p w14:paraId="29164C32">
      <w:pPr>
        <w:rPr>
          <w:rFonts w:hint="default"/>
        </w:rPr>
      </w:pPr>
      <w:r>
        <w:rPr>
          <w:rFonts w:hint="default"/>
          <w:b/>
          <w:bCs/>
        </w:rPr>
        <w:t>目标：</w:t>
      </w:r>
      <w:r>
        <w:rPr>
          <w:rFonts w:hint="default"/>
        </w:rPr>
        <w:t>抛弃极易受实验进样延迟影响的动态时间规整（DTW）算法，将 1D 时序光谱化为 Token，直接在特征空间中计算结合速率常数 $K_{on}$ 和解离速率常数 $K_{off}$。</w:t>
      </w:r>
    </w:p>
    <w:p w14:paraId="16AEFCFF">
      <w:pPr>
        <w:pStyle w:val="5"/>
        <w:bidi w:val="0"/>
        <w:jc w:val="left"/>
        <w:rPr>
          <w:rFonts w:hint="default"/>
        </w:rPr>
      </w:pPr>
      <w:r>
        <w:rPr>
          <w:rFonts w:hint="default"/>
        </w:rPr>
        <w:t>4. 构建可信赖的“物理-逻辑”专家系统 (参考 Paper 2)</w:t>
      </w:r>
    </w:p>
    <w:p w14:paraId="11344A4B">
      <w:pPr>
        <w:rPr>
          <w:rFonts w:hint="default"/>
        </w:rPr>
      </w:pPr>
      <w:r>
        <w:rPr>
          <w:rFonts w:hint="default"/>
          <w:b/>
          <w:bCs/>
        </w:rPr>
        <w:t>痛点：</w:t>
      </w:r>
      <w:r>
        <w:rPr>
          <w:rFonts w:hint="default"/>
        </w:rPr>
        <w:t>纯黑盒神经网络如果预测出违背</w:t>
      </w:r>
      <w:bookmarkStart w:id="0" w:name="_GoBack"/>
      <w:bookmarkEnd w:id="0"/>
      <w:r>
        <w:rPr>
          <w:rFonts w:hint="default"/>
        </w:rPr>
        <w:t>物理常识的结果（例如共振波长向蓝移但在折射率增加的环境下），将是灾难性的。</w:t>
      </w:r>
    </w:p>
    <w:p w14:paraId="13AF368F">
      <w:pPr>
        <w:rPr>
          <w:rFonts w:hint="default"/>
        </w:rPr>
      </w:pPr>
      <w:r>
        <w:rPr>
          <w:rFonts w:hint="default"/>
          <w:b/>
          <w:bCs/>
        </w:rPr>
        <w:t>策略：</w:t>
      </w:r>
      <w:r>
        <w:rPr>
          <w:rFonts w:hint="default"/>
        </w:rPr>
        <w:t>参考文献2（Trustworthy Quantum Chatbot）的架构思路，构建一个混合判定后端。你的软件在输出深度学习预测浓度前，需经过一层物理约束引擎验证——例如，通过经典的朗伯-比尔定律（Beer-Lambert Law）或严格的共振峰寻峰算法（如多项式拟合质心法）进行双重校验。</w:t>
      </w:r>
    </w:p>
    <w:p w14:paraId="7AFF942D">
      <w:pPr>
        <w:rPr>
          <w:rFonts w:hint="default"/>
        </w:rPr>
      </w:pPr>
      <w:r>
        <w:rPr>
          <w:rFonts w:hint="default"/>
          <w:b/>
          <w:bCs/>
        </w:rPr>
        <w:t>目标：</w:t>
      </w:r>
      <w:r>
        <w:rPr>
          <w:rFonts w:hint="default"/>
        </w:rPr>
        <w:t>将纯粹的 AI 算法，转化为具有“物理常识”的实战软件。</w:t>
      </w:r>
    </w:p>
    <w:p w14:paraId="759AC7CC">
      <w:pPr>
        <w:rPr>
          <w:rFonts w:hint="default"/>
          <w:b/>
          <w:bCs/>
        </w:rPr>
      </w:pPr>
      <w:r>
        <w:rPr>
          <w:rFonts w:hint="default"/>
          <w:b/>
          <w:bCs/>
        </w:rPr>
        <w:t>核心动作：</w:t>
      </w:r>
    </w:p>
    <w:p w14:paraId="434A4117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引入真实数据：让你那未知尺寸的金颗粒和不同浓度的 BSA 实验数据（校准集/支持集）正式登场。</w:t>
      </w:r>
    </w:p>
    <w:p w14:paraId="4D195D09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少样本推理 (Few-Shot)：在 128 维空间中计算盲样与校准集的余弦相似度（Cosine Similarity）。</w:t>
      </w:r>
    </w:p>
    <w:p w14:paraId="31C5B681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注入物理灵魂：写死 Langmuir 饱和约束界限（例如 &gt;30 ng/mL 停止线性推断），防止 AI 过度外推，胡编乱造高浓度。</w:t>
      </w:r>
    </w:p>
    <w:p w14:paraId="3E4B8205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工程化融合：将这套算法完美嵌入到你现有的 nanosense 软件工程目录中（结合 PyQt 界面和多线程）。</w:t>
      </w:r>
    </w:p>
    <w:p w14:paraId="278E89AA">
      <w:pPr>
        <w:rPr>
          <w:rFonts w:hint="default"/>
          <w:b/>
          <w:bCs/>
        </w:rPr>
      </w:pPr>
      <w:r>
        <w:rPr>
          <w:rFonts w:hint="default"/>
          <w:b/>
          <w:bCs/>
        </w:rPr>
        <w:t>(注：在跑通 MVP 最小可行性产品时，我们将直接从第一步跳到第四步。)</w:t>
      </w:r>
    </w:p>
    <w:p w14:paraId="5E4815DB">
      <w:pPr>
        <w:rPr>
          <w:rFonts w:hint="default"/>
        </w:rPr>
      </w:pPr>
    </w:p>
    <w:p w14:paraId="10C8F34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1A1CDF"/>
    <w:multiLevelType w:val="singleLevel"/>
    <w:tmpl w:val="511A1CD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117B82"/>
    <w:rsid w:val="313B5EB2"/>
    <w:rsid w:val="3AB5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857</Words>
  <Characters>1128</Characters>
  <Lines>0</Lines>
  <Paragraphs>0</Paragraphs>
  <TotalTime>395</TotalTime>
  <ScaleCrop>false</ScaleCrop>
  <LinksUpToDate>false</LinksUpToDate>
  <CharactersWithSpaces>1167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2026-03-18T06:17:00Z</dcterms:created>
  <dc:creator>Spc</dc:creator>
  <cp:lastModifiedBy>史鹏程</cp:lastModifiedBy>
  <dcterms:modified xsi:type="dcterms:W3CDTF">2026-03-20T01:46:54Z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eyJoZGlkIjoiN2YzNjBkOTgyNWQ1YTMxYzM3MzMwNWFiODNmOWIzYWMiLCJ1c2VySWQiOiIxNzQ4NTEwNjc2In0=</vt:lpwstr>
  </property>
  <property fmtid="{D5CDD505-2E9C-101B-9397-08002B2CF9AE}" pid="4" name="ICV">
    <vt:lpwstr>25E756DE946841BA9863B64E3508ED03_12</vt:lpwstr>
  </property>
</Properties>
</file>