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2019-03-05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Kerstin, Nikitas, Regine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Joost, Don, Gerhard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Ratification of minutes</w:t>
      </w: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222222"/>
          <w:rtl w:val="0"/>
        </w:rPr>
        <w:t xml:space="preserve">ARM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Open discussion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Shared Schema: EAD/EAC handling of relations → focus for data 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will include RiC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lesser priority: schema (candidate for crosswalk);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higher priority: Europeana; wikidata (FRBR-oo/LRM); MARC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unsure: BIBFRAME/ARM; ISO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implementations: after data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22222"/>
          <w:rtl w:val="0"/>
        </w:rPr>
        <w:t xml:space="preserve">AOB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color w:val="222222"/>
          <w:rtl w:val="0"/>
        </w:rPr>
        <w:t xml:space="preserve">RiC-O reviewers to start soon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ARM contributors to start soon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 and next steps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color w:val="222222"/>
          <w:rtl w:val="0"/>
        </w:rPr>
        <w:t xml:space="preserve">whenisgood for next meeting (skip 3, 4 of April)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Tuesday, April 9, at 9am  Eastern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RiC (inasmuch as we are able)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work collaboratively on one EAD3 example as starting point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Regine to identify suitable data 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Zoom info: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Join Zoom Meeting</w:t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"https://princeton.zoom.us/j/9871771724"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https://princeton.zoom.us/j/9871771724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tap mobile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+16465588656,,9871771724# US (New York)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+16699006833,,9871771724# US (San Jose)</w:t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Dial by your location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+1 646 558 8656 US (New York)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+1 669 900 6833 US (San Jose)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2B">
      <w:pPr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Find your local number: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"https://zoom.us/u/dRnMDrQGB"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https://zoom.us/u/dRnMDrQGB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SIP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9871771724@zoomcrc.com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H.323</w:t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162.255.37.11 (US West)</w:t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162.255.36.11 (US East)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221.122.88.195 (China)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115.114.131.7 (India)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213.19.144.110 (EMEA)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202.177.207.158 (Australia)</w:t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209.9.211.110 (Hong Kong)</w:t>
      </w:r>
    </w:p>
    <w:p w:rsidR="00000000" w:rsidDel="00000000" w:rsidP="00000000" w:rsidRDefault="00000000" w:rsidRPr="00000000" w14:paraId="0000003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64.211.144.160 (Brazil)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69.174.57.160 (Canada)</w:t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u/dRnMDrQ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