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2FFC4" w14:textId="77777777" w:rsidR="00A3078D" w:rsidRPr="00CF1685" w:rsidRDefault="00A3078D" w:rsidP="00A3078D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0" w:name="_Toc127456502"/>
      <w:bookmarkStart w:id="1" w:name="_Toc153436453"/>
      <w:r w:rsidRPr="00CF1685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t>背景與目的</w:t>
      </w:r>
      <w:bookmarkEnd w:id="0"/>
      <w:bookmarkEnd w:id="1"/>
    </w:p>
    <w:p w14:paraId="1F4AE45D" w14:textId="77777777" w:rsidR="00A3078D" w:rsidRPr="002D0EF2" w:rsidRDefault="00A3078D" w:rsidP="00A3078D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2" w:name="_Toc23511599"/>
      <w:bookmarkStart w:id="3" w:name="_Toc57302629"/>
      <w:bookmarkStart w:id="4" w:name="_Toc92469120"/>
      <w:bookmarkStart w:id="5" w:name="_Toc127456503"/>
      <w:bookmarkStart w:id="6" w:name="_Toc153436454"/>
      <w:r w:rsidRPr="002D0EF2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066F3" wp14:editId="410A5F74">
                <wp:simplePos x="0" y="0"/>
                <wp:positionH relativeFrom="margin">
                  <wp:posOffset>0</wp:posOffset>
                </wp:positionH>
                <wp:positionV relativeFrom="paragraph">
                  <wp:posOffset>300044</wp:posOffset>
                </wp:positionV>
                <wp:extent cx="107315" cy="247015"/>
                <wp:effectExtent l="0" t="0" r="6985" b="635"/>
                <wp:wrapNone/>
                <wp:docPr id="10" name="流程圖: 替代程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34E4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圖: 替代程序 10" o:spid="_x0000_s1026" type="#_x0000_t176" style="position:absolute;margin-left:0;margin-top:23.65pt;width:8.45pt;height:19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Ab1YKi3gAAAAUBAAAPAAAAZHJzL2Rvd25yZXYueG1sTI/N&#10;TsMwEITvSH0HaytxQdShrkIbsqkQAgkkfkvL2Y2XJGq8jmK3DW+Pe4LjaEYz3+TLwbbiQL1vHCNc&#10;TRIQxKUzDVcI68+HyzkIHzQb3TomhB/ysCxGZ7nOjDvyBx1WoRKxhH2mEeoQukxKX9ZktZ+4jjh6&#10;3663OkTZV9L0+hjLbSunSZJKqxuOC7Xu6K6mcrfaW4SvR3X/utvM3i6656cXqQb1rhYK8Xw83N6A&#10;CDSEvzCc8CM6FJFp6/ZsvGgR4pGAMLtWIE5uugCxRZinU5BFLv/TF7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G9WCo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t>背景</w:t>
      </w:r>
      <w:bookmarkEnd w:id="2"/>
      <w:bookmarkEnd w:id="3"/>
      <w:bookmarkEnd w:id="4"/>
      <w:bookmarkEnd w:id="5"/>
      <w:bookmarkEnd w:id="6"/>
    </w:p>
    <w:p w14:paraId="17277551" w14:textId="77777777" w:rsidR="00A3078D" w:rsidRPr="002D0EF2" w:rsidRDefault="00A3078D" w:rsidP="00A3078D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測驗與評量是教育歷程中十分重要的一環，透過學力檢測可協助師生瞭解學生之學習成效與升學進路，及早發現待加強學生並啟動積極性教學介入，教育當局亦能評估施行的相關政策，透過調節教育資源來強化發展教學成效。</w:t>
      </w:r>
    </w:p>
    <w:p w14:paraId="5FCC5A5F" w14:textId="6DC5758D" w:rsidR="00A3078D" w:rsidRPr="002D0EF2" w:rsidRDefault="00A3078D" w:rsidP="00A3078D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107年開始，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桃園市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等五縣市以委託形式，由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國立</w:t>
      </w:r>
      <w:proofErr w:type="gramStart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臺</w:t>
      </w:r>
      <w:proofErr w:type="gramEnd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中教育大學測驗統計與適性學習研究中心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協助辦理縣市學生學習能力檢測試題研發暨</w:t>
      </w:r>
      <w:r w:rsidRPr="002D0EF2">
        <w:rPr>
          <w:rFonts w:ascii="微軟正黑體" w:eastAsia="微軟正黑體" w:hAnsi="微軟正黑體" w:cs="Times New Roman"/>
          <w:color w:val="000000" w:themeColor="text1"/>
          <w:szCs w:val="24"/>
        </w:rPr>
        <w:t>資料分析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工作，108年起，改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以中心自辦學力檢測研發，各縣市依需求參與形式運作，</w:t>
      </w:r>
      <w:r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{{year}}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年度有</w:t>
      </w:r>
      <w:r w:rsidR="00E7489A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  <w:u w:val="single"/>
        </w:rPr>
        <w:t>{{當年度參與縣市}}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以及等</w:t>
      </w:r>
      <w:r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{{國字大寫}}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縣市共同參與，檢測對象為國民中小學</w:t>
      </w:r>
      <w:proofErr w:type="gramStart"/>
      <w:r w:rsidRPr="00B53ABD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三</w:t>
      </w:r>
      <w:proofErr w:type="gramEnd"/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年級至八年級學生，檢測科目包含國語文、數學</w:t>
      </w:r>
      <w:r>
        <w:rPr>
          <w:rFonts w:ascii="微軟正黑體" w:eastAsia="微軟正黑體" w:hAnsi="微軟正黑體" w:cs="Times New Roman" w:hint="eastAsia"/>
          <w:color w:val="000000" w:themeColor="text1"/>
          <w:kern w:val="0"/>
          <w:szCs w:val="24"/>
        </w:rPr>
        <w:t>、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英語文</w:t>
      </w:r>
      <w:r>
        <w:rPr>
          <w:rFonts w:ascii="微軟正黑體" w:eastAsia="微軟正黑體" w:hAnsi="微軟正黑體" w:cs="Times New Roman" w:hint="eastAsia"/>
          <w:color w:val="000000" w:themeColor="text1"/>
          <w:kern w:val="0"/>
          <w:szCs w:val="24"/>
        </w:rPr>
        <w:t>和自然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。</w:t>
      </w:r>
    </w:p>
    <w:p w14:paraId="3DB3E653" w14:textId="77777777" w:rsidR="00A3078D" w:rsidRPr="002D0EF2" w:rsidRDefault="00A3078D" w:rsidP="00A3078D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標楷體" w:eastAsia="標楷體" w:hAnsi="標楷體" w:cs="Times New Roman"/>
          <w:color w:val="000000" w:themeColor="text1"/>
          <w:kern w:val="0"/>
          <w:szCs w:val="24"/>
        </w:rPr>
      </w:pP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此份報告係根據檢測分析結果撰寫，現場教師可據以瞭解學生於各評量向度之表現情形，進而對學生進行適性適才之教學；教育決策者亦可更精</w:t>
      </w:r>
      <w:proofErr w:type="gramStart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準</w:t>
      </w:r>
      <w:proofErr w:type="gramEnd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的將相關資源</w:t>
      </w:r>
      <w:proofErr w:type="gramStart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挹</w:t>
      </w:r>
      <w:proofErr w:type="gramEnd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注於需求性相對較高的教育現場，讓教育和教學有效的朝「把每一個孩子帶上來」的方向前進。</w:t>
      </w:r>
    </w:p>
    <w:p w14:paraId="3997C2A3" w14:textId="77777777" w:rsidR="00A3078D" w:rsidRPr="002D0EF2" w:rsidRDefault="00A3078D" w:rsidP="00A3078D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7" w:name="_Toc23511600"/>
      <w:bookmarkStart w:id="8" w:name="_Toc57302630"/>
      <w:bookmarkStart w:id="9" w:name="_Toc92469121"/>
      <w:bookmarkStart w:id="10" w:name="_Toc127456504"/>
      <w:bookmarkStart w:id="11" w:name="_Toc153436455"/>
      <w:r w:rsidRPr="002D0EF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CC38D" wp14:editId="0CE6CCF8">
                <wp:simplePos x="0" y="0"/>
                <wp:positionH relativeFrom="margin">
                  <wp:posOffset>0</wp:posOffset>
                </wp:positionH>
                <wp:positionV relativeFrom="paragraph">
                  <wp:posOffset>185731</wp:posOffset>
                </wp:positionV>
                <wp:extent cx="107315" cy="247015"/>
                <wp:effectExtent l="0" t="0" r="6985" b="635"/>
                <wp:wrapNone/>
                <wp:docPr id="4" name="流程圖: 替代程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A3174" id="流程圖: 替代程序 4" o:spid="_x0000_s1026" type="#_x0000_t176" style="position:absolute;margin-left:0;margin-top:14.6pt;width:8.45pt;height:19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C/O98J3gAAAAUBAAAPAAAAZHJzL2Rvd25yZXYueG1sTI9L&#10;T8MwEITvSPwHa5G4IOo0RlETsqkQAgkkyqM8zm68JFHjdRS7bfj3uCc4jmY08025nGwv9jT6zjHC&#10;fJaAIK6d6bhB+Hi/v1yA8EGz0b1jQvghD8vq9KTUhXEHfqP9OjQilrAvNEIbwlBI6euWrPYzNxBH&#10;79uNVocox0aaUR9iue1lmiSZtLrjuNDqgW5bqrfrnUX4elB3z9vPq5eL4elxJdWkXlWuEM/Ppptr&#10;EIGm8BeGI35EhyoybdyOjRc9QjwSENI8BXF0sxzEBiFbzEFWpfxPX/0C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vzvfCd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t>目的</w:t>
      </w:r>
      <w:bookmarkEnd w:id="7"/>
      <w:bookmarkEnd w:id="8"/>
      <w:bookmarkEnd w:id="9"/>
      <w:bookmarkEnd w:id="10"/>
      <w:bookmarkEnd w:id="11"/>
    </w:p>
    <w:p w14:paraId="0E12C1CE" w14:textId="77777777" w:rsidR="00A3078D" w:rsidRPr="002D0EF2" w:rsidRDefault="00A3078D" w:rsidP="00A3078D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proofErr w:type="gramStart"/>
      <w:r w:rsidRPr="002D0EF2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一</w:t>
      </w:r>
      <w:proofErr w:type="gramEnd"/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測驗專責單位統一研發試題，降低各縣市命題壓力和研發成本。</w:t>
      </w:r>
    </w:p>
    <w:p w14:paraId="00A1C678" w14:textId="77777777" w:rsidR="00A3078D" w:rsidRPr="002D0EF2" w:rsidRDefault="00A3078D" w:rsidP="00A3078D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2D0EF2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二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</w:r>
      <w:r w:rsidRPr="002D0EF2">
        <w:rPr>
          <w:rFonts w:ascii="微軟正黑體" w:eastAsia="微軟正黑體" w:hAnsi="微軟正黑體" w:cs="Times New Roman"/>
          <w:color w:val="000000" w:themeColor="text1"/>
          <w:szCs w:val="24"/>
        </w:rPr>
        <w:t>國民小學及國民中學學生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學習能力檢測分析結果，協助教師瞭解學生學習概況以及科目內有待加強之內容向度。</w:t>
      </w:r>
    </w:p>
    <w:p w14:paraId="594799C5" w14:textId="77777777" w:rsidR="00A3078D" w:rsidRPr="002D0EF2" w:rsidRDefault="00A3078D" w:rsidP="00A3078D">
      <w:pPr>
        <w:widowControl/>
        <w:spacing w:afterLines="50" w:after="180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szCs w:val="24"/>
        </w:rPr>
      </w:pP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2D0EF2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三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不同背景變項國民小學及國民中學學生學習能力表現之差異分析，可做為學校輔導或教育政策</w:t>
      </w:r>
      <w:proofErr w:type="gramStart"/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研</w:t>
      </w:r>
      <w:proofErr w:type="gramEnd"/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擬之參考。</w:t>
      </w:r>
    </w:p>
    <w:p w14:paraId="2AE312E7" w14:textId="77777777" w:rsidR="00A3078D" w:rsidRDefault="00A3078D" w:rsidP="00A3078D">
      <w:pPr>
        <w:widowControl/>
      </w:pPr>
      <w:r>
        <w:br w:type="page"/>
      </w:r>
    </w:p>
    <w:p w14:paraId="64590248" w14:textId="77777777" w:rsidR="00A3078D" w:rsidRPr="00CF1685" w:rsidRDefault="00A3078D" w:rsidP="00A3078D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12" w:name="_Toc93411862"/>
      <w:bookmarkStart w:id="13" w:name="_Toc127456505"/>
      <w:bookmarkStart w:id="14" w:name="_Toc153436456"/>
      <w:bookmarkStart w:id="15" w:name="_Toc57302635"/>
      <w:bookmarkStart w:id="16" w:name="_Toc57302632"/>
      <w:bookmarkStart w:id="17" w:name="_Toc93411863"/>
      <w:r w:rsidRPr="00CF1685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lastRenderedPageBreak/>
        <w:t>參與縣市與檢測規模</w:t>
      </w:r>
      <w:bookmarkEnd w:id="12"/>
      <w:bookmarkEnd w:id="13"/>
      <w:bookmarkEnd w:id="14"/>
    </w:p>
    <w:p w14:paraId="45B9603E" w14:textId="14AE3E1C" w:rsidR="00A3078D" w:rsidRDefault="00A3078D" w:rsidP="00A3078D">
      <w:pPr>
        <w:widowControl/>
        <w:spacing w:beforeLines="100" w:before="360" w:afterLines="50" w:after="180" w:line="480" w:lineRule="exact"/>
        <w:ind w:leftChars="50" w:left="120" w:firstLineChars="200" w:firstLine="496"/>
        <w:rPr>
          <w:rFonts w:ascii="微軟正黑體" w:eastAsia="微軟正黑體" w:hAnsi="微軟正黑體" w:cs="Times New Roman"/>
          <w:color w:val="0D0D0D" w:themeColor="text1" w:themeTint="F2"/>
          <w:spacing w:val="4"/>
          <w:kern w:val="0"/>
          <w:szCs w:val="24"/>
        </w:rPr>
      </w:pPr>
      <w:r/>
      <w:r>
        <w:rPr>
          <w:rFonts w:ascii="微軟正黑體" w:hAnsi="微軟正黑體"/>
        </w:rPr>
        <w:t>本年度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英語文七年級新生學習能力檢測於{{year}}年{{month}}月{{day}}日進行，學生人數為{{enrolled_count}}人，施測人數為{{tested_count}}人。</w:t>
      </w:r>
    </w:p>
    <w:p w14:paraId="73AE0D6D" w14:textId="77777777" w:rsidR="00A3078D" w:rsidRPr="00A613DC" w:rsidRDefault="00A3078D" w:rsidP="00A3078D">
      <w:pPr>
        <w:widowControl/>
        <w:spacing w:afterLines="50" w:after="180" w:line="480" w:lineRule="exact"/>
        <w:ind w:leftChars="50" w:left="120" w:firstLineChars="200" w:firstLine="496"/>
        <w:rPr>
          <w:rFonts w:ascii="微軟正黑體" w:eastAsia="微軟正黑體" w:hAnsi="微軟正黑體" w:cs="Times New Roman"/>
          <w:color w:val="0D0D0D" w:themeColor="text1" w:themeTint="F2"/>
          <w:spacing w:val="4"/>
          <w:kern w:val="0"/>
          <w:szCs w:val="24"/>
        </w:rPr>
      </w:pPr>
    </w:p>
    <w:p w14:paraId="774605CE" w14:textId="77777777" w:rsidR="00A3078D" w:rsidRPr="00CF1685" w:rsidRDefault="00A3078D" w:rsidP="00A3078D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18" w:name="_Toc152148302"/>
      <w:bookmarkStart w:id="19" w:name="_Toc152148574"/>
      <w:bookmarkStart w:id="20" w:name="_Toc152148698"/>
      <w:bookmarkStart w:id="21" w:name="_Toc153436146"/>
      <w:bookmarkStart w:id="22" w:name="_Toc127456506"/>
      <w:bookmarkStart w:id="23" w:name="_Toc153436457"/>
      <w:bookmarkEnd w:id="18"/>
      <w:bookmarkEnd w:id="19"/>
      <w:bookmarkEnd w:id="20"/>
      <w:bookmarkEnd w:id="21"/>
      <w:r w:rsidRPr="00CF1685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t>檢測對象與檢測工具</w:t>
      </w:r>
      <w:bookmarkEnd w:id="22"/>
      <w:bookmarkEnd w:id="23"/>
    </w:p>
    <w:p w14:paraId="5459AFBD" w14:textId="77777777" w:rsidR="00A3078D" w:rsidRPr="002D0EF2" w:rsidRDefault="00A3078D" w:rsidP="00A3078D">
      <w:pPr>
        <w:pStyle w:val="10"/>
        <w:numPr>
          <w:ilvl w:val="0"/>
          <w:numId w:val="3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  <w:rPr>
          <w:rFonts w:ascii="微軟正黑體" w:eastAsia="微軟正黑體" w:hAnsi="微軟正黑體" w:cs="Times New Roman"/>
          <w:szCs w:val="24"/>
        </w:rPr>
      </w:pPr>
      <w:bookmarkStart w:id="24" w:name="_Toc57302633"/>
      <w:bookmarkStart w:id="25" w:name="_Toc92469124"/>
      <w:bookmarkStart w:id="26" w:name="_Toc127456507"/>
      <w:bookmarkStart w:id="27" w:name="_Toc153436458"/>
      <w:r w:rsidRPr="002D0EF2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20A48" wp14:editId="1F612AE0">
                <wp:simplePos x="0" y="0"/>
                <wp:positionH relativeFrom="margin">
                  <wp:posOffset>0</wp:posOffset>
                </wp:positionH>
                <wp:positionV relativeFrom="paragraph">
                  <wp:posOffset>284138</wp:posOffset>
                </wp:positionV>
                <wp:extent cx="107315" cy="247015"/>
                <wp:effectExtent l="0" t="0" r="6985" b="635"/>
                <wp:wrapNone/>
                <wp:docPr id="13" name="流程圖: 替代程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3F230" id="流程圖: 替代程序 13" o:spid="_x0000_s1026" type="#_x0000_t176" style="position:absolute;margin-left:0;margin-top:22.35pt;width:8.45pt;height:19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C6IBqM3gAAAAUBAAAPAAAAZHJzL2Rvd25yZXYueG1sTI9L&#10;T8MwEITvSPwHa5G4oNYBR2kbsqkQAgmk8iqPsxsvSdR4HcVuG/497gmOoxnNfFMsR9uJPQ2+dYxw&#10;OU1AEFfOtFwjfLzfT+YgfNBsdOeYEH7Iw7I8PSl0btyB32i/DrWIJexzjdCE0OdS+qohq/3U9cTR&#10;+3aD1SHKoZZm0IdYbjt5lSSZtLrluNDonm4bqrbrnUX4elB3z9vP9OWiXz0+STWqV7VQiOdn4801&#10;iEBj+AvDET+iQxmZNm7HxosOIR4JCGk6A3F0swWIDcJcZSDLQv6nL38B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uiAajN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rPr>
          <w:rFonts w:ascii="微軟正黑體" w:eastAsia="微軟正黑體" w:hAnsi="微軟正黑體" w:cs="Times New Roman"/>
          <w:szCs w:val="24"/>
        </w:rPr>
        <w:t>檢測對象</w:t>
      </w:r>
      <w:bookmarkEnd w:id="24"/>
      <w:bookmarkEnd w:id="25"/>
      <w:bookmarkEnd w:id="26"/>
      <w:bookmarkEnd w:id="27"/>
    </w:p>
    <w:p w14:paraId="0FB7C1E6" w14:textId="46129E04" w:rsidR="00A3078D" w:rsidRPr="00C14D8E" w:rsidRDefault="00A3078D" w:rsidP="00A3078D">
      <w:pPr>
        <w:pStyle w:val="10"/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bCs/>
          <w:color w:val="000000" w:themeColor="text1"/>
          <w:kern w:val="0"/>
          <w:szCs w:val="24"/>
        </w:rPr>
      </w:pPr>
      <w:r/>
      <w:r>
        <w:rPr>
          <w:rFonts w:ascii="微軟正黑體" w:hAnsi="微軟正黑體"/>
        </w:rPr>
        <w:t>{{year}}年參與</w:t>
      </w:r>
      <w:r>
        <w:rPr>
          <w:rFonts w:ascii="微軟正黑體" w:hAnsi="微軟正黑體"/>
          <w:u w:val="single"/>
        </w:rPr>
        <w:t>國立臺中教育大學</w:t>
      </w:r>
      <w:r>
        <w:rPr>
          <w:rFonts w:ascii="微軟正黑體" w:hAnsi="微軟正黑體"/>
        </w:rPr>
        <w:t>所承辦「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英語文七年級新生學習能力檢測」者為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之國民中學七年級新生（未排除資源班及特殊生），應考名冊羅列{{enrolled_count}}人、實際施測人數{{tested_count}}人，其中男生{{boy_count}}人、女生{{girl_count}}人，整體缺考率約為{{absence_rate}}%。</w:t>
      </w:r>
    </w:p>
    <w:p w14:paraId="17965F09" w14:textId="77777777" w:rsidR="00A3078D" w:rsidRPr="002D0EF2" w:rsidRDefault="00A3078D" w:rsidP="00A3078D">
      <w:pPr>
        <w:pStyle w:val="10"/>
        <w:numPr>
          <w:ilvl w:val="0"/>
          <w:numId w:val="4"/>
        </w:numPr>
        <w:tabs>
          <w:tab w:val="left" w:pos="840"/>
        </w:tabs>
        <w:spacing w:line="480" w:lineRule="exact"/>
        <w:ind w:leftChars="150" w:left="842" w:hanging="482"/>
        <w:outlineLvl w:val="1"/>
        <w:rPr>
          <w:rFonts w:ascii="微軟正黑體" w:eastAsia="微軟正黑體" w:hAnsi="微軟正黑體" w:cs="Times New Roman"/>
          <w:szCs w:val="24"/>
        </w:rPr>
      </w:pPr>
      <w:bookmarkStart w:id="28" w:name="_Toc127456508"/>
      <w:bookmarkStart w:id="29" w:name="_Toc153436459"/>
      <w:r w:rsidRPr="002014CE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B6881F" wp14:editId="0E9108AC">
                <wp:simplePos x="0" y="0"/>
                <wp:positionH relativeFrom="margin">
                  <wp:posOffset>0</wp:posOffset>
                </wp:positionH>
                <wp:positionV relativeFrom="paragraph">
                  <wp:posOffset>66982</wp:posOffset>
                </wp:positionV>
                <wp:extent cx="107315" cy="247015"/>
                <wp:effectExtent l="0" t="0" r="6985" b="635"/>
                <wp:wrapNone/>
                <wp:docPr id="14" name="流程圖: 替代程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92D76" id="流程圖: 替代程序 14" o:spid="_x0000_s1026" type="#_x0000_t176" style="position:absolute;margin-left:0;margin-top:5.25pt;width:8.45pt;height:19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Beuw4K3gAAAAUBAAAPAAAAZHJzL2Rvd25yZXYueG1sTI/B&#10;TsMwEETvSPyDtUhcEHXAaUVCnAohkECCAm3h7MZLEjVeR7Hbhr9ne4Ljzoxm3hbz0XVij0NoPWm4&#10;miQgkCpvW6o1rFePlzcgQjRkTecJNfxggHl5elKY3PoDfeB+GWvBJRRyo6GJsc+lDFWDzoSJ75HY&#10;+/aDM5HPoZZ2MAcud528TpKZdKYlXmhMj/cNVtvlzmn4elIPi+1n+nbRvzy/SjWqd5Uprc/Pxrtb&#10;EBHH+BeGIz6jQ8lMG78jG0SngR+JrCZTEEd3loHYaEizFGRZyP/05S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XrsOC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rPr>
          <w:rFonts w:ascii="微軟正黑體" w:eastAsia="微軟正黑體" w:hAnsi="微軟正黑體" w:cs="Times New Roman"/>
          <w:szCs w:val="24"/>
        </w:rPr>
        <w:t>檢測工具</w:t>
      </w:r>
      <w:bookmarkEnd w:id="28"/>
      <w:bookmarkEnd w:id="29"/>
    </w:p>
    <w:p w14:paraId="7EC8A4DF" w14:textId="59379C03" w:rsidR="00A3078D" w:rsidRPr="00DF53AD" w:rsidRDefault="00A3078D" w:rsidP="00A3078D">
      <w:pPr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/>
      <w:r>
        <w:rPr>
          <w:rFonts w:ascii="微軟正黑體" w:hAnsi="微軟正黑體"/>
        </w:rPr>
        <w:t>「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英語文七年級新生學習能力檢測」（以下簡稱學力檢測）由</w:t>
      </w:r>
      <w:r>
        <w:rPr>
          <w:rFonts w:ascii="微軟正黑體" w:hAnsi="微軟正黑體"/>
          <w:u w:val="single"/>
        </w:rPr>
        <w:t>國立臺中教育大學測驗統計與適性學習研究中心</w:t>
      </w:r>
      <w:r>
        <w:rPr>
          <w:rFonts w:ascii="微軟正黑體" w:hAnsi="微軟正黑體"/>
        </w:rPr>
        <w:t>邀集英語文領域專家教授及現職國民小學教師組成命審題團隊，根據十二年國教課程綱要英語領域課綱命題共同編製而成，所有題目皆為原始命題。此測驗分為「聽力」與「閱讀」兩部分，聽力15題，閱讀20題，總題數為35題。聽力評量向度包含{{listening_dimensions}}及{{listening_dimensions_final}}；閱讀能力則包含{{reading_dimensions}}及{{reading_dimensions_final}}，試題內容於各評量向度之詳細分布題數如表3-1所示。</w:t>
      </w:r>
    </w:p>
    <w:p w14:paraId="7269FF96" w14:textId="77777777" w:rsidR="00A3078D" w:rsidRDefault="00A3078D" w:rsidP="00A3078D">
      <w:pPr>
        <w:widowControl/>
        <w:rPr>
          <w:rFonts w:ascii="微軟正黑體" w:eastAsia="微軟正黑體" w:hAnsi="微軟正黑體" w:cs="Times New Roman"/>
          <w:color w:val="000000" w:themeColor="text1"/>
          <w:szCs w:val="24"/>
        </w:rPr>
      </w:pPr>
      <w:r>
        <w:rPr>
          <w:rFonts w:ascii="微軟正黑體" w:eastAsia="微軟正黑體" w:hAnsi="微軟正黑體" w:cs="Times New Roman"/>
          <w:color w:val="000000" w:themeColor="text1"/>
          <w:szCs w:val="24"/>
        </w:rPr>
        <w:br w:type="page"/>
      </w:r>
    </w:p>
    <w:p w14:paraId="677F1201" w14:textId="77777777" w:rsidR="00A3078D" w:rsidRPr="002D0EF2" w:rsidRDefault="00A3078D" w:rsidP="00A3078D">
      <w:pPr>
        <w:widowControl/>
        <w:spacing w:afterLines="20" w:after="72" w:line="480" w:lineRule="exact"/>
        <w:ind w:leftChars="350" w:left="840"/>
        <w:rPr>
          <w:rFonts w:ascii="微軟正黑體" w:eastAsia="微軟正黑體" w:hAnsi="微軟正黑體" w:cs="Times New Roman"/>
          <w:szCs w:val="24"/>
        </w:rPr>
      </w:pPr>
      <w:r w:rsidRPr="00DF53AD">
        <w:rPr>
          <w:rFonts w:ascii="微軟正黑體" w:eastAsia="微軟正黑體" w:hAnsi="微軟正黑體" w:cs="Times New Roman"/>
          <w:color w:val="000000" w:themeColor="text1"/>
          <w:szCs w:val="24"/>
        </w:rPr>
        <w:lastRenderedPageBreak/>
        <w:t>表3-1</w:t>
      </w:r>
      <w:r>
        <w:rPr>
          <w:rFonts w:ascii="微軟正黑體" w:eastAsia="微軟正黑體" w:hAnsi="微軟正黑體" w:cs="Times New Roman" w:hint="eastAsia"/>
          <w:color w:val="000000" w:themeColor="text1"/>
          <w:szCs w:val="24"/>
        </w:rPr>
        <w:t xml:space="preserve">　英</w:t>
      </w:r>
      <w:r w:rsidRPr="00DF53AD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語文</w:t>
      </w:r>
      <w:r w:rsidRPr="00DF53AD">
        <w:rPr>
          <w:rFonts w:ascii="微軟正黑體" w:eastAsia="微軟正黑體" w:hAnsi="微軟正黑體" w:cs="Times New Roman"/>
          <w:color w:val="000000" w:themeColor="text1"/>
          <w:szCs w:val="24"/>
        </w:rPr>
        <w:t>領域</w:t>
      </w:r>
      <w:r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七</w:t>
      </w:r>
      <w:r w:rsidRPr="00DF53AD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年級</w:t>
      </w:r>
      <w:r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新生評量向度</w:t>
      </w:r>
      <w:r w:rsidRPr="002D0EF2">
        <w:rPr>
          <w:rFonts w:ascii="微軟正黑體" w:eastAsia="微軟正黑體" w:hAnsi="微軟正黑體" w:cs="Times New Roman"/>
          <w:szCs w:val="24"/>
        </w:rPr>
        <w:t>之分</w:t>
      </w:r>
      <w:r w:rsidRPr="002D0EF2">
        <w:rPr>
          <w:rFonts w:ascii="微軟正黑體" w:eastAsia="微軟正黑體" w:hAnsi="微軟正黑體" w:cs="Times New Roman" w:hint="eastAsia"/>
          <w:szCs w:val="24"/>
        </w:rPr>
        <w:t>布</w:t>
      </w:r>
      <w:r w:rsidRPr="002D0EF2">
        <w:rPr>
          <w:rFonts w:ascii="微軟正黑體" w:eastAsia="微軟正黑體" w:hAnsi="微軟正黑體" w:cs="Times New Roman"/>
          <w:szCs w:val="24"/>
        </w:rPr>
        <w:t>題數</w:t>
      </w:r>
    </w:p>
    <w:tbl>
      <w:tblPr>
        <w:tblW w:w="0" w:type="auto"/>
        <w:tblInd w:w="851" w:type="dxa"/>
        <w:tblBorders>
          <w:top w:val="single" w:sz="8" w:space="0" w:color="BFBFBF" w:themeColor="background1" w:themeShade="BF"/>
          <w:bottom w:val="single" w:sz="8" w:space="0" w:color="BFBFBF" w:themeColor="background1" w:themeShade="BF"/>
          <w:insideH w:val="single" w:sz="8" w:space="0" w:color="BFBFBF" w:themeColor="background1" w:themeShade="BF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14"/>
        <w:gridCol w:w="2508"/>
        <w:gridCol w:w="3433"/>
      </w:tblGrid>
      <w:tr w:rsidR="00A3078D" w:rsidRPr="005760EB" w14:paraId="68576A55" w14:textId="77777777" w:rsidTr="00ED5624">
        <w:trPr>
          <w:trHeight w:val="315"/>
        </w:trPr>
        <w:tc>
          <w:tcPr>
            <w:tcW w:w="4819" w:type="dxa"/>
            <w:gridSpan w:val="2"/>
            <w:shd w:val="clear" w:color="auto" w:fill="E6E6E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29B97" w14:textId="77777777" w:rsidR="00A3078D" w:rsidRPr="005760EB" w:rsidRDefault="00A3078D" w:rsidP="00ED5624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5760EB">
              <w:rPr>
                <w:rFonts w:ascii="微軟正黑體" w:eastAsia="微軟正黑體" w:hAnsi="微軟正黑體" w:hint="eastAsia"/>
              </w:rPr>
              <w:t>評量向度</w:t>
            </w:r>
          </w:p>
        </w:tc>
        <w:tc>
          <w:tcPr>
            <w:tcW w:w="4111" w:type="dxa"/>
            <w:shd w:val="clear" w:color="auto" w:fill="E6E6E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77A08F" w14:textId="77777777" w:rsidR="00A3078D" w:rsidRPr="005760EB" w:rsidRDefault="00A3078D" w:rsidP="00ED5624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5760EB">
              <w:rPr>
                <w:rFonts w:ascii="微軟正黑體" w:eastAsia="微軟正黑體" w:hAnsi="微軟正黑體" w:hint="eastAsia"/>
              </w:rPr>
              <w:t>題號</w:t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{%tr for r in framework_rows %}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r.domain }}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r.sub_domain }}</w:t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r.item_numbers }}</w:t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{%tr endfor %}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合計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total_items }}題</w:t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</w:tr>
    </w:tbl>
    <w:p w14:paraId="4D6F9AF4" w14:textId="77777777" w:rsidR="00A3078D" w:rsidRPr="007C7401" w:rsidRDefault="00A3078D" w:rsidP="00A3078D">
      <w:pPr>
        <w:rPr>
          <w:rFonts w:ascii="微軟正黑體" w:eastAsia="微軟正黑體" w:hAnsi="微軟正黑體" w:cs="Times New Roman"/>
          <w:szCs w:val="24"/>
        </w:rPr>
      </w:pPr>
    </w:p>
    <w:p w14:paraId="4D9853B7" w14:textId="77777777" w:rsidR="00A3078D" w:rsidRDefault="00A3078D" w:rsidP="00A3078D">
      <w:pPr>
        <w:widowControl/>
      </w:pPr>
      <w:r>
        <w:br w:type="page"/>
      </w:r>
    </w:p>
    <w:p w14:paraId="7542C0C3" w14:textId="77777777" w:rsidR="0078700D" w:rsidRDefault="0078700D"/>
    <w:sectPr w:rsidR="0078700D">
      <w:pgSz w:w="11906" w:h="16838"/>
      <w:pgMar w:top="1296" w:right="992" w:bottom="1008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65"/>
    <w:multiLevelType w:val="hybridMultilevel"/>
    <w:tmpl w:val="9F703B8C"/>
    <w:lvl w:ilvl="0" w:tplc="2AF41E0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3D6502"/>
    <w:multiLevelType w:val="hybridMultilevel"/>
    <w:tmpl w:val="ACCCAF6E"/>
    <w:lvl w:ilvl="0" w:tplc="BE10F2BC">
      <w:start w:val="2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BC47A69"/>
    <w:multiLevelType w:val="hybridMultilevel"/>
    <w:tmpl w:val="53066106"/>
    <w:lvl w:ilvl="0" w:tplc="0D6C3886">
      <w:start w:val="1"/>
      <w:numFmt w:val="taiwaneseCountingThousand"/>
      <w:pStyle w:val="a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FBE76B4"/>
    <w:multiLevelType w:val="hybridMultilevel"/>
    <w:tmpl w:val="83609AAA"/>
    <w:lvl w:ilvl="0" w:tplc="AA40D344">
      <w:start w:val="1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 w16cid:durableId="720059538">
    <w:abstractNumId w:val="3"/>
  </w:num>
  <w:num w:numId="2" w16cid:durableId="2026050546">
    <w:abstractNumId w:val="2"/>
  </w:num>
  <w:num w:numId="3" w16cid:durableId="1190143151">
    <w:abstractNumId w:val="0"/>
  </w:num>
  <w:num w:numId="4" w16cid:durableId="213951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8D"/>
    <w:rsid w:val="0078700D"/>
    <w:rsid w:val="008672F3"/>
    <w:rsid w:val="00A3078D"/>
    <w:rsid w:val="00DD633F"/>
    <w:rsid w:val="00E7489A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3F42"/>
  <w15:chartTrackingRefBased/>
  <w15:docId w15:val="{8189D77B-F7A1-4F95-B41E-10E945D6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3078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A307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3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307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307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30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3078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3078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3078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3078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307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A30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A307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30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307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307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307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307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3078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307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3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307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307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3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A3078D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34"/>
    <w:qFormat/>
    <w:rsid w:val="00A3078D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A3078D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30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A3078D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A3078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0"/>
    <w:uiPriority w:val="99"/>
    <w:unhideWhenUsed/>
    <w:rsid w:val="00A307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b">
    <w:name w:val="清單段落 字元"/>
    <w:link w:val="aa"/>
    <w:uiPriority w:val="34"/>
    <w:locked/>
    <w:rsid w:val="00A3078D"/>
  </w:style>
  <w:style w:type="paragraph" w:customStyle="1" w:styleId="a">
    <w:name w:val="一、"/>
    <w:basedOn w:val="aa"/>
    <w:link w:val="af0"/>
    <w:rsid w:val="00A3078D"/>
    <w:pPr>
      <w:numPr>
        <w:numId w:val="2"/>
      </w:numPr>
      <w:tabs>
        <w:tab w:val="left" w:pos="840"/>
      </w:tabs>
      <w:spacing w:beforeLines="100" w:before="100" w:line="480" w:lineRule="exact"/>
      <w:ind w:leftChars="150" w:left="150" w:firstLine="0"/>
      <w:contextualSpacing w:val="0"/>
      <w:outlineLvl w:val="1"/>
    </w:pPr>
    <w:rPr>
      <w:rFonts w:ascii="微軟正黑體" w:eastAsia="微軟正黑體" w:hAnsi="微軟正黑體" w:cs="Times New Roman"/>
      <w:noProof/>
      <w:color w:val="000000" w:themeColor="text1"/>
      <w:kern w:val="0"/>
    </w:rPr>
  </w:style>
  <w:style w:type="character" w:customStyle="1" w:styleId="af0">
    <w:name w:val="一、 字元"/>
    <w:basedOn w:val="ab"/>
    <w:link w:val="a"/>
    <w:rsid w:val="00A3078D"/>
    <w:rPr>
      <w:rFonts w:ascii="微軟正黑體" w:eastAsia="微軟正黑體" w:hAnsi="微軟正黑體" w:cs="Times New Roman"/>
      <w:noProof/>
      <w:color w:val="000000" w:themeColor="text1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164</Words>
  <Characters>938</Characters>
  <Application>Microsoft Office Word</Application>
  <DocSecurity>0</DocSecurity>
  <Lines>7</Lines>
  <Paragraphs>2</Paragraphs>
  <ScaleCrop>false</ScaleCrop>
  <Company>NTCU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dc:description/>
  <cp:lastModifiedBy>adminn</cp:lastModifiedBy>
  <cp:revision>2</cp:revision>
  <dcterms:created xsi:type="dcterms:W3CDTF">2026-10-22T02:43:00Z</dcterms:created>
  <dcterms:modified xsi:type="dcterms:W3CDTF">2026-10-22T02:50:00Z</dcterms:modified>
</cp:coreProperties>
</file>