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Charte d'utilisation des ressources informatiques</w:t>
      </w:r>
    </w:p>
    <w:p>
      <w:r>
        <w:rPr>
          <w:color w:val="555555"/>
          <w:sz w:val="18"/>
        </w:rPr>
        <w:t>Référence : ARM-GOV-003  |  Version : 2.0  |  Date : 3 septembre 2024  |  Propriétaire : DSI et DRH  |  Approbation : Direction générale, après avis du CSE  |  Classification : Interne – annexée au règlement intérieur</w:t>
      </w:r>
    </w:p>
    <w:p>
      <w:r>
        <w:rPr>
          <w:sz w:val="18"/>
        </w:rPr>
        <w:t>Armor Logistique SAS – document fictif à usage pédagogique</w:t>
      </w:r>
    </w:p>
    <w:p>
      <w:pPr>
        <w:pStyle w:val="Heading1"/>
      </w:pPr>
      <w:r>
        <w:t>1. Objet et champ d'application</w:t>
      </w:r>
    </w:p>
    <w:p>
      <w:r>
        <w:t>La présente charte définit les règles d'utilisation des ressources informatiques mises à disposition par Armor Logistique. Elle s'applique à tous les utilisateurs : salariés, intérimaires, stagiaires et prestataires. Elle est annexée au règlement intérieur et doit être signée par chaque utilisateur lors de son arrivée.</w:t>
      </w:r>
    </w:p>
    <w:p>
      <w:r>
        <w:t>Les ressources informatiques comprennent notamment les postes de travail, les ordinateurs portables, les smartphones, les tablettes des chauffeurs, la messagerie, l'accès à Internet, les applications métier et les réseaux de l'entreprise.</w:t>
      </w:r>
    </w:p>
    <w:p>
      <w:pPr>
        <w:pStyle w:val="Heading1"/>
      </w:pPr>
      <w:r>
        <w:t>2. Principes généraux</w:t>
      </w:r>
    </w:p>
    <w:p>
      <w:r>
        <w:t>Les ressources informatiques sont destinées à un usage professionnel. Un usage personnel ponctuel et raisonnable est toléré, à condition qu'il ne nuise ni à l'activité, ni à la sécurité, ni à l'image de l'entreprise. Les fichiers et messages personnels doivent être clairement identifiés comme tels, par exemple dans un dossier nommé « Personnel ».</w:t>
      </w:r>
    </w:p>
    <w:p>
      <w:pPr>
        <w:pStyle w:val="Heading1"/>
      </w:pPr>
      <w:r>
        <w:t>3. Comptes et mots de passe</w:t>
      </w:r>
    </w:p>
    <w:p>
      <w:r>
        <w:t>Chaque utilisateur dispose d'un compte nominatif. Il est responsable de l'usage qui en est fait. L'utilisateur s'engage à :</w:t>
      </w:r>
    </w:p>
    <w:p>
      <w:pPr>
        <w:pStyle w:val="ListBullet"/>
      </w:pPr>
      <w:r>
        <w:t>ne jamais communiquer son mot de passe, y compris au support informatique ;</w:t>
      </w:r>
    </w:p>
    <w:p>
      <w:pPr>
        <w:pStyle w:val="ListBullet"/>
      </w:pPr>
      <w:r>
        <w:t>ne pas utiliser le compte d'un autre utilisateur ;</w:t>
      </w:r>
    </w:p>
    <w:p>
      <w:pPr>
        <w:pStyle w:val="ListBullet"/>
      </w:pPr>
      <w:r>
        <w:t>verrouiller sa session dès qu'il quitte son poste ;</w:t>
      </w:r>
    </w:p>
    <w:p>
      <w:pPr>
        <w:pStyle w:val="ListBullet"/>
      </w:pPr>
      <w:r>
        <w:t>respecter les règles de construction des mots de passe définies par la politique de contrôle d'accès.</w:t>
      </w:r>
    </w:p>
    <w:p>
      <w:pPr>
        <w:pStyle w:val="Heading1"/>
      </w:pPr>
      <w:r>
        <w:t>4. Protection des postes et des équipements</w:t>
      </w:r>
    </w:p>
    <w:p>
      <w:r>
        <w:t>L'utilisateur prend soin du matériel qui lui est confié. Il lui est interdit :</w:t>
      </w:r>
    </w:p>
    <w:p>
      <w:pPr>
        <w:pStyle w:val="ListBullet"/>
      </w:pPr>
      <w:r>
        <w:t>d'installer des logiciels non autorisés par la DSI ;</w:t>
      </w:r>
    </w:p>
    <w:p>
      <w:pPr>
        <w:pStyle w:val="ListBullet"/>
      </w:pPr>
      <w:r>
        <w:t>de désactiver l'antivirus ou les mises à jour ;</w:t>
      </w:r>
    </w:p>
    <w:p>
      <w:pPr>
        <w:pStyle w:val="ListBullet"/>
      </w:pPr>
      <w:r>
        <w:t>de connecter des clés USB ou disques personnels aux postes de l'entreprise ;</w:t>
      </w:r>
    </w:p>
    <w:p>
      <w:pPr>
        <w:pStyle w:val="ListBullet"/>
      </w:pPr>
      <w:r>
        <w:t>de modifier la configuration du poste.</w:t>
      </w:r>
    </w:p>
    <w:p>
      <w:r>
        <w:t>En cas de perte ou de vol d'un équipement, l'utilisateur prévient immédiatement le support informatique.</w:t>
      </w:r>
    </w:p>
    <w:p>
      <w:pPr>
        <w:pStyle w:val="Heading1"/>
      </w:pPr>
      <w:r>
        <w:t>5. Messagerie</w:t>
      </w:r>
    </w:p>
    <w:p>
      <w:r>
        <w:t>La messagerie professionnelle ne doit pas être utilisée pour diffuser des contenus illicites, injurieux ou sans lien avec l'activité. L'utilisateur fait preuve de vigilance face aux messages suspects : expéditeur inconnu, demande urgente de paiement, pièce jointe ou lien inattendu. Tout message suspect est signalé avec le bouton « Signaler un hameçonnage » de la messagerie.</w:t>
      </w:r>
    </w:p>
    <w:p>
      <w:r>
        <w:t>Le transfert automatique de la messagerie professionnelle vers une adresse personnelle est interdit.</w:t>
      </w:r>
    </w:p>
    <w:p>
      <w:pPr>
        <w:pStyle w:val="Heading1"/>
      </w:pPr>
      <w:r>
        <w:t>6. Internet</w:t>
      </w:r>
    </w:p>
    <w:p>
      <w:r>
        <w:t>L'accès à Internet est filtré. La consultation de sites à caractère illicite, pornographique, violent ou de jeux d'argent est interdite. Le téléchargement de logiciels ou de fichiers volumineux sans lien avec l'activité est interdit.</w:t>
      </w:r>
    </w:p>
    <w:p>
      <w:pPr>
        <w:pStyle w:val="Heading1"/>
      </w:pPr>
      <w:r>
        <w:t>7. Données de l'entreprise</w:t>
      </w:r>
    </w:p>
    <w:p>
      <w:r>
        <w:t>Les données de l'entreprise sont stockées sur les espaces prévus : serveurs de fichiers, OneDrive et SharePoint de l'entreprise. Il est interdit de stocker des données de l'entreprise sur des services de partage ou de stockage personnels.</w:t>
      </w:r>
    </w:p>
    <w:p>
      <w:r>
        <w:t>Les informations classées « Confidentiel » ne doivent pas être transmises à l'extérieur sans l'accord de leur propriétaire.</w:t>
      </w:r>
    </w:p>
    <w:p>
      <w:pPr>
        <w:pStyle w:val="Heading1"/>
      </w:pPr>
      <w:r>
        <w:t>8. Télétravail et nomadisme</w:t>
      </w:r>
    </w:p>
    <w:p>
      <w:r>
        <w:t>En situation de télétravail, l'utilisateur se connecte au système d'information uniquement par le VPN de l'entreprise. Il veille à ce que des tiers ne puissent pas voir son écran ni entendre ses échanges confidentiels. Il n'utilise pas de réseaux Wi-Fi publics non sécurisés sans le VPN.</w:t>
      </w:r>
    </w:p>
    <w:p>
      <w:pPr>
        <w:pStyle w:val="Heading1"/>
      </w:pPr>
      <w:r>
        <w:t>9. Signalement des incidents</w:t>
      </w:r>
    </w:p>
    <w:p>
      <w:r>
        <w:t>Tout événement pouvant affecter la sécurité doit être signalé sans délai au support informatique : comportement anormal du poste, message suspect ouvert par erreur, perte de matériel, divulgation accidentelle d'informations.</w:t>
      </w:r>
    </w:p>
    <w:p>
      <w:pPr>
        <w:pStyle w:val="Heading1"/>
      </w:pPr>
      <w:r>
        <w:t>10. Contrôles</w:t>
      </w:r>
    </w:p>
    <w:p>
      <w:r>
        <w:t>L'entreprise peut procéder à des contrôles de l'utilisation des ressources informatiques, dans le respect de la vie privée des salariés et des droits du CSE. Les journaux de connexion sont conservés et peuvent être analysés en cas d'incident. Les messages et fichiers identifiés comme personnels ne sont pas consultés, sauf en présence du salarié ou en cas de risque grave.</w:t>
      </w:r>
    </w:p>
    <w:p>
      <w:pPr>
        <w:pStyle w:val="Heading1"/>
      </w:pPr>
      <w:r>
        <w:t>11. Départ de l'entreprise</w:t>
      </w:r>
    </w:p>
    <w:p>
      <w:r>
        <w:t>À son départ, l'utilisateur restitue l'ensemble du matériel qui lui a été confié et supprime ses données personnelles. Il ne conserve aucune donnée de l'entreprise.</w:t>
      </w:r>
    </w:p>
    <w:p>
      <w:pPr>
        <w:pStyle w:val="Heading1"/>
      </w:pPr>
      <w:r>
        <w:t>12. Sanctions</w:t>
      </w:r>
    </w:p>
    <w:p>
      <w:r>
        <w:t>Le non-respect de la présente charte peut entraîner les sanctions disciplinaires prévues au règlement intérieur, sans préjudice d'éventuelles poursuites civiles ou pénales.</w:t>
      </w:r>
    </w:p>
    <w:p>
      <w:pPr>
        <w:pStyle w:val="Heading1"/>
      </w:pPr>
      <w:r>
        <w:t>13. Engagement de l'utilisateur</w:t>
      </w:r>
    </w:p>
    <w:p>
      <w:r>
        <w:t>« Je reconnais avoir pris connaissance de la charte d'utilisation des ressources informatiques d'Armor Logistique et m'engage à la respecter. »</w:t>
      </w:r>
    </w:p>
    <w:p>
      <w:r>
        <w:t>Nom, prénom, date et signature de l'utilisateur.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