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6"/>
          <w:szCs w:val="36"/>
        </w:rPr>
        <w:t xml:space="preserve">Politique de contrôle d'accès</w:t>
      </w:r>
    </w:p>
    <w:p>
      <w:pPr>
        <w:spacing w:after="120"/>
        <w:jc w:val="center"/>
      </w:pPr>
      <w:r>
        <w:rPr>
          <w:sz w:val="20"/>
          <w:szCs w:val="20"/>
        </w:rPr>
        <w:t xml:space="preserve">Référence : ARM-POL-001 | Version : 1.2 | Date : 12 février 2026 | Propriétaire : RSSI | Approbation : Comité de sécurité | Classification : Interne</w:t>
      </w:r>
    </w:p>
    <w:p>
      <w:pPr>
        <w:spacing w:after="240"/>
        <w:jc w:val="center"/>
      </w:pPr>
      <w:r>
        <w:rPr>
          <w:i/>
          <w:iCs/>
        </w:rPr>
        <w:t xml:space="preserve">Armor Logistique SAS — document fictif à usage pédagogique</w:t>
      </w:r>
    </w:p>
    <w:p>
      <w:pPr>
        <w:pStyle w:val="Heading1"/>
        <w:spacing w:after="120" w:before="240"/>
      </w:pPr>
      <w:r>
        <w:t xml:space="preserve">1. Objet</w:t>
      </w:r>
    </w:p>
    <w:p>
      <w:pPr>
        <w:spacing w:after="120"/>
      </w:pPr>
      <w:r>
        <w:t xml:space="preserve">Cette politique définit les règles de gestion des accès au système d'information d'Armor Logistique. Elle vise à garantir que seules les personnes autorisées accèdent aux ressources, et uniquement dans la limite de ce qui est nécessaire à leurs missions. Elle s'applique à tous les utilisateurs : salariés, intérimaires, stagiaires et prestataires.</w:t>
      </w:r>
    </w:p>
    <w:p>
      <w:pPr>
        <w:pStyle w:val="Heading1"/>
        <w:spacing w:after="120" w:before="240"/>
      </w:pPr>
      <w:r>
        <w:t xml:space="preserve">2. Principes</w:t>
      </w:r>
    </w:p>
    <w:p>
      <w:pPr>
        <w:pStyle w:val="Heading2"/>
        <w:spacing w:after="100" w:before="180"/>
      </w:pPr>
      <w:r>
        <w:t xml:space="preserve">2.1 Moindre privilège</w:t>
      </w:r>
    </w:p>
    <w:p>
      <w:pPr>
        <w:spacing w:after="120"/>
      </w:pPr>
      <w:r>
        <w:t xml:space="preserve">Chaque utilisateur ne dispose que des droits strictement nécessaires à l'exercice de ses missions, conformément à la PSSI (ARM-GOV-001). Les droits sont accordés selon le principe du besoin d'en connaître et retirés dès qu'ils ne sont plus nécessaires.</w:t>
      </w:r>
    </w:p>
    <w:p>
      <w:pPr>
        <w:pStyle w:val="Heading2"/>
        <w:spacing w:after="100" w:before="180"/>
      </w:pPr>
      <w:r>
        <w:t xml:space="preserve">2.2 Comptes nominatifs</w:t>
      </w:r>
    </w:p>
    <w:p>
      <w:pPr>
        <w:spacing w:after="120"/>
      </w:pPr>
      <w:r>
        <w:t xml:space="preserve">Tout accès au système d'information se fait au moyen d'un compte nominatif. Les comptes partagés ou génériques sont interdits, sauf dérogation accordée par le RSSI pour des équipements techniques (ex. : compte de service), avec une journalisation renforcée.</w:t>
      </w:r>
    </w:p>
    <w:p>
      <w:pPr>
        <w:pStyle w:val="Heading2"/>
        <w:spacing w:after="100" w:before="180"/>
      </w:pPr>
      <w:r>
        <w:t xml:space="preserve">2.3 Défense en profondeur</w:t>
      </w:r>
    </w:p>
    <w:p>
      <w:pPr>
        <w:spacing w:after="120"/>
      </w:pPr>
      <w:r>
        <w:t xml:space="preserve">Le contrôle d'accès s'appuie sur plusieurs mécanismes complémentaires : authentification, gestion des habilitations, segmentation réseau, restriction des accès distants et journalisation.</w:t>
      </w:r>
    </w:p>
    <w:p>
      <w:pPr>
        <w:pStyle w:val="Heading1"/>
        <w:spacing w:after="120" w:before="240"/>
      </w:pPr>
      <w:r>
        <w:t xml:space="preserve">3. Responsabilités</w:t>
      </w:r>
    </w:p>
    <w:p>
      <w:pPr>
        <w:spacing w:after="120"/>
      </w:pPr>
      <w:r>
        <w:rPr>
          <w:b/>
          <w:bCs/>
        </w:rPr>
        <w:t xml:space="preserve">Propriétaire d'actif</w:t>
      </w:r>
      <w:r>
        <w:t xml:space="preserve"> : valide les demandes d'accès à son application, participe à la revue annuelle des habilitations et exprime les besoins de sécurité (confidentialité, intégrité, disponibilité).</w:t>
      </w:r>
    </w:p>
    <w:p>
      <w:pPr>
        <w:spacing w:after="120"/>
      </w:pPr>
      <w:r>
        <w:rPr>
          <w:b/>
          <w:bCs/>
        </w:rPr>
        <w:t xml:space="preserve">Manager</w:t>
      </w:r>
      <w:r>
        <w:t xml:space="preserve"> : formule les demandes d'accès pour ses collaborateurs et signale tout changement de fonction ou départ.</w:t>
      </w:r>
    </w:p>
    <w:p>
      <w:pPr>
        <w:spacing w:after="120"/>
      </w:pPr>
      <w:r>
        <w:rPr>
          <w:b/>
          <w:bCs/>
        </w:rPr>
        <w:t xml:space="preserve">DSI</w:t>
      </w:r>
      <w:r>
        <w:t xml:space="preserve"> : met en œuvre les comptes et les droits, applique les habilitations validées, désactive les comptes dans les délais prévus.</w:t>
      </w:r>
    </w:p>
    <w:p>
      <w:pPr>
        <w:spacing w:after="120"/>
      </w:pPr>
      <w:r>
        <w:rPr>
          <w:b/>
          <w:bCs/>
        </w:rPr>
        <w:t xml:space="preserve">RSSI</w:t>
      </w:r>
      <w:r>
        <w:t xml:space="preserve"> : définit les règles, contrôle leur application et supervise la revue des habilitations.</w:t>
      </w:r>
    </w:p>
    <w:p>
      <w:pPr>
        <w:spacing w:after="120"/>
      </w:pPr>
      <w:r>
        <w:rPr>
          <w:b/>
          <w:bCs/>
        </w:rPr>
        <w:t xml:space="preserve">DRH</w:t>
      </w:r>
      <w:r>
        <w:t xml:space="preserve"> : informe la DSI des arrivées, mobilités et départs.</w:t>
      </w:r>
    </w:p>
    <w:p>
      <w:pPr>
        <w:spacing w:after="120"/>
      </w:pPr>
      <w:r>
        <w:t xml:space="preserve">Les rôles détaillés figurent dans le document « Organisation de la sécurité » (ARM-GOV-002) et la procédure d'arrivées et départs (ARM-PRO-003).</w:t>
      </w:r>
    </w:p>
    <w:p>
      <w:pPr>
        <w:pStyle w:val="Heading1"/>
        <w:spacing w:after="120" w:before="240"/>
      </w:pPr>
      <w:r>
        <w:t xml:space="preserve">4. Cycle de vie des accès</w:t>
      </w:r>
    </w:p>
    <w:p>
      <w:pPr>
        <w:pStyle w:val="Heading2"/>
        <w:spacing w:after="100" w:before="180"/>
      </w:pPr>
      <w:r>
        <w:t xml:space="preserve">4.1 Arrivée</w:t>
      </w:r>
    </w:p>
    <w:p>
      <w:pPr>
        <w:spacing w:after="120"/>
      </w:pPr>
      <w:r>
        <w:t xml:space="preserve">La demande d'arrivée est créée par le manager au moins 5 jours ouvrés avant la date d'arrivée (cf. ARM-PRO-003). La DSI crée le compte, l'ajoute aux groupes correspondant au profil métier et prépare le poste. Tout droit supplémentaire est validé par le propriétaire de l'application concernée. L'utilisateur signe la charte informatique (ARM-GOV-003) et change son mot de passe à la première connexion.</w:t>
      </w:r>
    </w:p>
    <w:p>
      <w:pPr>
        <w:pStyle w:val="Heading2"/>
        <w:spacing w:after="100" w:before="180"/>
      </w:pPr>
      <w:r>
        <w:t xml:space="preserve">4.2 Mobilité</w:t>
      </w:r>
    </w:p>
    <w:p>
      <w:pPr>
        <w:spacing w:after="120"/>
      </w:pPr>
      <w:r>
        <w:t xml:space="preserve">Le nouveau manager crée une demande de mobilité. La DSI ajoute les droits du nouveau profil et retire, à la demande de l'ancien manager, les droits liés à l'ancien poste. Un contrôle croisé est effectué pour éviter l'accumulation de droits.</w:t>
      </w:r>
    </w:p>
    <w:p>
      <w:pPr>
        <w:pStyle w:val="Heading2"/>
        <w:spacing w:after="100" w:before="180"/>
      </w:pPr>
      <w:r>
        <w:t xml:space="preserve">4.3 Départ</w:t>
      </w:r>
    </w:p>
    <w:p>
      <w:pPr>
        <w:spacing w:after="120"/>
      </w:pPr>
      <w:r>
        <w:t xml:space="preserve">Les ressources humaines informent la DSI. Le compte est désactivé dans un délai de 5 jours ouvrés après le départ ; en cas de départ conflictuel ou de licenciement pour faute, la désactivation est immédiate. La boîte aux lettres est conservée 3 mois puis supprimée. Les accès VPN et aux applications externes (WMS, géolocalisation) sont supprimés en même temps que le compte. Le matériel est restitué et réinitialisé.</w:t>
      </w:r>
    </w:p>
    <w:p>
      <w:pPr>
        <w:pStyle w:val="Heading2"/>
        <w:spacing w:after="100" w:before="180"/>
      </w:pPr>
      <w:r>
        <w:t xml:space="preserve">4.4 Intérimaires et prestataires</w:t>
      </w:r>
    </w:p>
    <w:p>
      <w:pPr>
        <w:spacing w:after="120"/>
      </w:pPr>
      <w:r>
        <w:t xml:space="preserve">Les comptes sont créés avec une date d'expiration correspondant à la fin de mission et identifiés par le préfixe « ext ». Les comptes des fournisseurs intervenant à distance sont nominatifs, créés à la demande du DSI et désactivés à la fin de la prestation (cf. ARM-POL-006). Le prestataire d'infogérance réseau dispose d'un accès permanent au pare-feu et au VPN, encadré contractuellement.</w:t>
      </w:r>
    </w:p>
    <w:p>
      <w:pPr>
        <w:pStyle w:val="Heading1"/>
        <w:spacing w:after="120" w:before="240"/>
      </w:pPr>
      <w:r>
        <w:t xml:space="preserve">5. Authentification</w:t>
      </w:r>
    </w:p>
    <w:p>
      <w:pPr>
        <w:pStyle w:val="Heading2"/>
        <w:spacing w:after="100" w:before="180"/>
      </w:pPr>
      <w:r>
        <w:t xml:space="preserve">5.1 Mots de passe</w:t>
      </w:r>
    </w:p>
    <w:p>
      <w:pPr>
        <w:spacing w:after="120"/>
      </w:pPr>
      <w:r>
        <w:t xml:space="preserve">Les règles de construction et de renouvellement des mots de passe sont définies par la présente politique :</w:t>
      </w:r>
    </w:p>
    <w:p>
      <w:pPr>
        <w:pStyle w:val="ListParagraph"/>
        <w:numPr>
          <w:ilvl w:val="0"/>
          <w:numId w:val="2"/>
        </w:numPr>
        <w:spacing w:after="60"/>
      </w:pPr>
      <w:r>
        <w:t xml:space="preserve">longueur minimale de 12 caractères ;</w:t>
      </w:r>
    </w:p>
    <w:p>
      <w:pPr>
        <w:pStyle w:val="ListParagraph"/>
        <w:numPr>
          <w:ilvl w:val="0"/>
          <w:numId w:val="2"/>
        </w:numPr>
        <w:spacing w:after="60"/>
      </w:pPr>
      <w:r>
        <w:t xml:space="preserve">combinaison d'au moins trois catégories parmi majuscules, minuscules, chiffres et caractères spéciaux ;</w:t>
      </w:r>
    </w:p>
    <w:p>
      <w:pPr>
        <w:pStyle w:val="ListParagraph"/>
        <w:numPr>
          <w:ilvl w:val="0"/>
          <w:numId w:val="2"/>
        </w:numPr>
        <w:spacing w:after="60"/>
      </w:pPr>
      <w:r>
        <w:t xml:space="preserve">interdiction des mots de passe triviaux, des suites logiques et des mots du dictionnaire ;</w:t>
      </w:r>
    </w:p>
    <w:p>
      <w:pPr>
        <w:pStyle w:val="ListParagraph"/>
        <w:numPr>
          <w:ilvl w:val="0"/>
          <w:numId w:val="2"/>
        </w:numPr>
        <w:spacing w:after="60"/>
      </w:pPr>
      <w:r>
        <w:t xml:space="preserve">renouvellement tous les 180 jours, et immédiatement en cas de suspicion de compromission ;</w:t>
      </w:r>
    </w:p>
    <w:p>
      <w:pPr>
        <w:pStyle w:val="ListParagraph"/>
        <w:numPr>
          <w:ilvl w:val="0"/>
          <w:numId w:val="2"/>
        </w:numPr>
        <w:spacing w:after="60"/>
      </w:pPr>
      <w:r>
        <w:t xml:space="preserve">historique de 5 mots de passe pour empêcher la réutilisation ;</w:t>
      </w:r>
    </w:p>
    <w:p>
      <w:pPr>
        <w:pStyle w:val="ListParagraph"/>
        <w:numPr>
          <w:ilvl w:val="0"/>
          <w:numId w:val="2"/>
        </w:numPr>
        <w:spacing w:after="60"/>
      </w:pPr>
      <w:r>
        <w:t xml:space="preserve">verrouillage du compte après 10 échecs d'authentification consécutifs.</w:t>
      </w:r>
    </w:p>
    <w:p>
      <w:pPr>
        <w:spacing w:after="120"/>
      </w:pPr>
      <w:r>
        <w:t xml:space="preserve">L'utilisateur ne communique jamais son mot de passe, y compris au support informatique, et verrouille sa session dès qu'il quitte son poste.</w:t>
      </w:r>
    </w:p>
    <w:p>
      <w:pPr>
        <w:pStyle w:val="Heading2"/>
        <w:spacing w:after="100" w:before="180"/>
      </w:pPr>
      <w:r>
        <w:t xml:space="preserve">5.2 Authentification multifacteur (MFA)</w:t>
      </w:r>
    </w:p>
    <w:p>
      <w:pPr>
        <w:spacing w:after="120"/>
      </w:pPr>
      <w:r>
        <w:t xml:space="preserve">L'authentification multifacteur est obligatoire pour :</w:t>
      </w:r>
    </w:p>
    <w:p>
      <w:pPr>
        <w:pStyle w:val="ListParagraph"/>
        <w:numPr>
          <w:ilvl w:val="0"/>
          <w:numId w:val="2"/>
        </w:numPr>
        <w:spacing w:after="60"/>
      </w:pPr>
      <w:r>
        <w:t xml:space="preserve">les accès distants via le VPN ;</w:t>
      </w:r>
    </w:p>
    <w:p>
      <w:pPr>
        <w:pStyle w:val="ListParagraph"/>
        <w:numPr>
          <w:ilvl w:val="0"/>
          <w:numId w:val="2"/>
        </w:numPr>
        <w:spacing w:after="60"/>
      </w:pPr>
      <w:r>
        <w:t xml:space="preserve">les comptes d'administration (annuaire, sauvegarde, SIEM, pare-feu) ;</w:t>
      </w:r>
    </w:p>
    <w:p>
      <w:pPr>
        <w:pStyle w:val="ListParagraph"/>
        <w:numPr>
          <w:ilvl w:val="0"/>
          <w:numId w:val="2"/>
        </w:numPr>
        <w:spacing w:after="60"/>
      </w:pPr>
      <w:r>
        <w:t xml:space="preserve">la messagerie Microsoft 365.</w:t>
      </w:r>
    </w:p>
    <w:p>
      <w:pPr>
        <w:spacing w:after="120"/>
      </w:pPr>
      <w:r>
        <w:t xml:space="preserve">Le déploiement de la MFA sur le VPN et la messagerie est planifié avant fin mars 2026 (décision de la revue de direction du 15 janvier 2026). Les comptes d'administration font l'objet d'une authentification renforcée et d'une journalisation spécifique.</w:t>
      </w:r>
    </w:p>
    <w:p>
      <w:pPr>
        <w:pStyle w:val="Heading2"/>
        <w:spacing w:after="100" w:before="180"/>
      </w:pPr>
      <w:r>
        <w:t xml:space="preserve">5.3 Comptes d'administration</w:t>
      </w:r>
    </w:p>
    <w:p>
      <w:pPr>
        <w:spacing w:after="120"/>
      </w:pPr>
      <w:r>
        <w:t xml:space="preserve">Les comptes d'administration sont distincts des comptes utilisateurs nominaux. Ils ne sont utilisés que pour les tâches d'administration et ne disposent pas d'accès à la messagerie ou à la bureautique. La liste des membres des groupes d'administration est vérifiée lors de la revue annuelle des habilitations.</w:t>
      </w:r>
    </w:p>
    <w:p>
      <w:pPr>
        <w:pStyle w:val="Heading1"/>
        <w:spacing w:after="120" w:before="240"/>
      </w:pPr>
      <w:r>
        <w:t xml:space="preserve">6. Habilitations et revue</w:t>
      </w:r>
    </w:p>
    <w:p>
      <w:pPr>
        <w:pStyle w:val="Heading2"/>
        <w:spacing w:after="100" w:before="180"/>
      </w:pPr>
      <w:r>
        <w:t xml:space="preserve">6.1 Principe</w:t>
      </w:r>
    </w:p>
    <w:p>
      <w:pPr>
        <w:spacing w:after="120"/>
      </w:pPr>
      <w:r>
        <w:t xml:space="preserve">Les habilitations sont accordées sur demande du manager, validées par le propriétaire de l'application, et mises en œuvre par la DSI. Toute demande est tracée dans l'outil de ticketing.</w:t>
      </w:r>
    </w:p>
    <w:p>
      <w:pPr>
        <w:pStyle w:val="Heading2"/>
        <w:spacing w:after="100" w:before="180"/>
      </w:pPr>
      <w:r>
        <w:t xml:space="preserve">6.2 Revue périodique</w:t>
      </w:r>
    </w:p>
    <w:p>
      <w:pPr>
        <w:spacing w:after="120"/>
      </w:pPr>
      <w:r>
        <w:t xml:space="preserve">Une revue des habilitations est réalisée une fois par an pour les applications TMS, ERP et paie, ainsi que pour les groupes d'administration de l'annuaire. La DSI extrait la liste des utilisateurs et de leurs droits ; le propriétaire de l'application vérifie que chaque utilisateur a toujours besoin de ses droits et demande la suppression des droits inutiles. La liste validée est transmise au RSSI. La dernière revue a été réalisée en janvier 2025.</w:t>
      </w:r>
    </w:p>
    <w:p>
      <w:pPr>
        <w:pStyle w:val="Heading2"/>
        <w:spacing w:after="100" w:before="180"/>
      </w:pPr>
      <w:r>
        <w:t xml:space="preserve">6.3 Indicateurs</w:t>
      </w:r>
    </w:p>
    <w:p>
      <w:pPr>
        <w:pStyle w:val="ListParagraph"/>
        <w:numPr>
          <w:ilvl w:val="0"/>
          <w:numId w:val="2"/>
        </w:numPr>
        <w:spacing w:after="60"/>
      </w:pPr>
      <w:r>
        <w:t xml:space="preserve">Nombre de comptes actifs d'utilisateurs ayant quitté l'entreprise (objectif : 0) ;</w:t>
      </w:r>
    </w:p>
    <w:p>
      <w:pPr>
        <w:pStyle w:val="ListParagraph"/>
        <w:numPr>
          <w:ilvl w:val="0"/>
          <w:numId w:val="2"/>
        </w:numPr>
        <w:spacing w:after="60"/>
      </w:pPr>
      <w:r>
        <w:t xml:space="preserve">délai moyen de désactivation après un départ (objectif : ≤ 5 jours ouvrés) ;</w:t>
      </w:r>
    </w:p>
    <w:p>
      <w:pPr>
        <w:pStyle w:val="ListParagraph"/>
        <w:numPr>
          <w:ilvl w:val="0"/>
          <w:numId w:val="2"/>
        </w:numPr>
        <w:spacing w:after="60"/>
      </w:pPr>
      <w:r>
        <w:t xml:space="preserve">taux de réalisation de la revue annuelle des habilitations (objectif : 100 %).</w:t>
      </w:r>
    </w:p>
    <w:p>
      <w:pPr>
        <w:pStyle w:val="Heading1"/>
        <w:spacing w:after="120" w:before="240"/>
      </w:pPr>
      <w:r>
        <w:t xml:space="preserve">7. Accès aux données et classification</w:t>
      </w:r>
    </w:p>
    <w:p>
      <w:pPr>
        <w:spacing w:after="120"/>
      </w:pPr>
      <w:r>
        <w:t xml:space="preserve">L'accès aux informations est limité selon leur niveau de classification (cf. ARM-POL-002) :</w:t>
      </w:r>
    </w:p>
    <w:p>
      <w:pPr>
        <w:pStyle w:val="ListParagraph"/>
        <w:numPr>
          <w:ilvl w:val="0"/>
          <w:numId w:val="2"/>
        </w:numPr>
        <w:spacing w:after="60"/>
      </w:pPr>
      <w:r>
        <w:t xml:space="preserve">Public : accès libre en interne ;</w:t>
      </w:r>
    </w:p>
    <w:p>
      <w:pPr>
        <w:pStyle w:val="ListParagraph"/>
        <w:numPr>
          <w:ilvl w:val="0"/>
          <w:numId w:val="2"/>
        </w:numPr>
        <w:spacing w:after="60"/>
      </w:pPr>
      <w:r>
        <w:t xml:space="preserve">Interne : réservé aux collaborateurs ;</w:t>
      </w:r>
    </w:p>
    <w:p>
      <w:pPr>
        <w:pStyle w:val="ListParagraph"/>
        <w:numPr>
          <w:ilvl w:val="0"/>
          <w:numId w:val="2"/>
        </w:numPr>
        <w:spacing w:after="60"/>
      </w:pPr>
      <w:r>
        <w:t xml:space="preserve">Confidentiel : accès limité aux personnes habilitées ayant besoin d'en connaître, sur validation du propriétaire ;</w:t>
      </w:r>
    </w:p>
    <w:p>
      <w:pPr>
        <w:pStyle w:val="ListParagraph"/>
        <w:numPr>
          <w:ilvl w:val="0"/>
          <w:numId w:val="2"/>
        </w:numPr>
        <w:spacing w:after="60"/>
      </w:pPr>
      <w:r>
        <w:t xml:space="preserve">Secret : accès limité à une liste nominative de personnes, avec chiffrement des fichiers.</w:t>
      </w:r>
    </w:p>
    <w:p>
      <w:pPr>
        <w:spacing w:after="120"/>
      </w:pPr>
      <w:r>
        <w:t xml:space="preserve">Les données personnelles des salariés et des chauffeurs, y compris la géolocalisation, sont classées au minimum « Confidentiel ».</w:t>
      </w:r>
    </w:p>
    <w:p>
      <w:pPr>
        <w:pStyle w:val="Heading1"/>
        <w:spacing w:after="120" w:before="240"/>
      </w:pPr>
      <w:r>
        <w:t xml:space="preserve">8. Accès distants et nomadisme</w:t>
      </w:r>
    </w:p>
    <w:p>
      <w:pPr>
        <w:spacing w:after="120"/>
      </w:pPr>
      <w:r>
        <w:t xml:space="preserve">Les accès distants au système d'information se font exclusivement par le VPN de l'entreprise, avec authentification multifacteur. En télétravail, l'utilisateur veille à la confidentialité de ses échanges et n'utilise pas de réseaux Wi-Fi publics non sécurisés sans VPN (cf. ARM-GOV-003). Les accès des fournisseurs à distance respectent les règles de la politique fournisseurs (ARM-POL-006).</w:t>
      </w:r>
    </w:p>
    <w:p>
      <w:pPr>
        <w:pStyle w:val="Heading1"/>
        <w:spacing w:after="120" w:before="240"/>
      </w:pPr>
      <w:r>
        <w:t xml:space="preserve">9. Contrôles et journalisation</w:t>
      </w:r>
    </w:p>
    <w:p>
      <w:pPr>
        <w:spacing w:after="120"/>
      </w:pPr>
      <w:r>
        <w:t xml:space="preserve">Les connexions, les créations et modifications de comptes, les changements de groupes d'administration et les opérations sensibles sont journalisés et centralisés dans le SIEM (cf. ARM-POL-005). L'accès au SIEM est réservé aux administrateurs de la DSI et au RSSI. Les journaux peuvent contenir des données personnelles et ne sont consultés que pour des besoins de sécurité ou d'enquête, dans le respect de la charte informatique et des droits du CSE.</w:t>
      </w:r>
    </w:p>
    <w:p>
      <w:pPr>
        <w:spacing w:after="120"/>
      </w:pPr>
      <w:r>
        <w:t xml:space="preserve">Le RSSI réalise des contrôles ponctuels : comptes inactifs, droits excessifs, partages externes, membres des groupes d'administration.</w:t>
      </w:r>
    </w:p>
    <w:p>
      <w:pPr>
        <w:pStyle w:val="Heading1"/>
        <w:spacing w:after="120" w:before="240"/>
      </w:pPr>
      <w:r>
        <w:t xml:space="preserve">10. Exceptions et dérogations</w:t>
      </w:r>
    </w:p>
    <w:p>
      <w:pPr>
        <w:spacing w:after="120"/>
      </w:pPr>
      <w:r>
        <w:t xml:space="preserve">Toute dérogation aux règles de la présente politique (compte partagé, droit exceptionnel, accès hors profil) est demandée au RSSI, qui l'évalue et la trace. Les dérogations sont limitées dans le temps et réexaminées lors de la revue annuelle des habilitations. Les exceptions liées à des systèmes obsolètes ou à des contraintes techniques sont inscrites au registre des risques avec des mesures compensatoires (cf. ARM-POL-004 et ARM-RSK-001).</w:t>
      </w:r>
    </w:p>
    <w:p>
      <w:pPr>
        <w:pStyle w:val="Heading1"/>
        <w:spacing w:after="120" w:before="240"/>
      </w:pPr>
      <w:r>
        <w:t xml:space="preserve">11. Conformité et sanctions</w:t>
      </w:r>
    </w:p>
    <w:p>
      <w:pPr>
        <w:spacing w:after="120"/>
      </w:pPr>
      <w:r>
        <w:t xml:space="preserve">Le respect de la présente politique est obligatoire pour tous les utilisateurs. Tout manquement peut entraîner les sanctions disciplinaires prévues au règlement intérieur, ainsi que, pour les prestataires, l'application des pénalités prévues au contrat. La politique contribue au respect des exigences de la directive NIS2 (article 21) et du RGPD.</w:t>
      </w:r>
    </w:p>
    <w:p>
      <w:pPr>
        <w:pStyle w:val="Heading1"/>
        <w:spacing w:after="120" w:before="240"/>
      </w:pPr>
      <w:r>
        <w:t xml:space="preserve">12. Revue</w:t>
      </w:r>
    </w:p>
    <w:p>
      <w:pPr>
        <w:spacing w:after="120"/>
      </w:pPr>
      <w:r>
        <w:t xml:space="preserve">La présente politique est revue au moins tous les deux ans par le RSSI, ou plus tôt en cas d'évolution majeure de l'organisation, de la menace ou de la réglementation. Elle est approuvée par le comité de sécurité.</w:t>
      </w:r>
    </w:p>
    <w:p>
      <w:pPr>
        <w:pStyle w:val="Heading1"/>
        <w:spacing w:after="120" w:before="240"/>
      </w:pPr>
      <w:r>
        <w:t xml:space="preserve">13. Documents de référence</w:t>
      </w:r>
    </w:p>
    <w:p>
      <w:pPr>
        <w:pStyle w:val="ListParagraph"/>
        <w:numPr>
          <w:ilvl w:val="0"/>
          <w:numId w:val="2"/>
        </w:numPr>
        <w:spacing w:after="60"/>
      </w:pPr>
      <w:r>
        <w:t xml:space="preserve">PSSI (ARM-GOV-001)</w:t>
      </w:r>
    </w:p>
    <w:p>
      <w:pPr>
        <w:pStyle w:val="ListParagraph"/>
        <w:numPr>
          <w:ilvl w:val="0"/>
          <w:numId w:val="2"/>
        </w:numPr>
        <w:spacing w:after="60"/>
      </w:pPr>
      <w:r>
        <w:t xml:space="preserve">Organisation de la sécurité (ARM-GOV-002)</w:t>
      </w:r>
    </w:p>
    <w:p>
      <w:pPr>
        <w:pStyle w:val="ListParagraph"/>
        <w:numPr>
          <w:ilvl w:val="0"/>
          <w:numId w:val="2"/>
        </w:numPr>
        <w:spacing w:after="60"/>
      </w:pPr>
      <w:r>
        <w:t xml:space="preserve">Charte informatique (ARM-GOV-003)</w:t>
      </w:r>
    </w:p>
    <w:p>
      <w:pPr>
        <w:pStyle w:val="ListParagraph"/>
        <w:numPr>
          <w:ilvl w:val="0"/>
          <w:numId w:val="2"/>
        </w:numPr>
        <w:spacing w:after="60"/>
      </w:pPr>
      <w:r>
        <w:t xml:space="preserve">Politique de classification de l'information (ARM-POL-002)</w:t>
      </w:r>
    </w:p>
    <w:p>
      <w:pPr>
        <w:pStyle w:val="ListParagraph"/>
        <w:numPr>
          <w:ilvl w:val="0"/>
          <w:numId w:val="2"/>
        </w:numPr>
        <w:spacing w:after="60"/>
      </w:pPr>
      <w:r>
        <w:t xml:space="preserve">Politique de journalisation (ARM-POL-005)</w:t>
      </w:r>
    </w:p>
    <w:p>
      <w:pPr>
        <w:pStyle w:val="ListParagraph"/>
        <w:numPr>
          <w:ilvl w:val="0"/>
          <w:numId w:val="2"/>
        </w:numPr>
        <w:spacing w:after="60"/>
      </w:pPr>
      <w:r>
        <w:t xml:space="preserve">Politique de sécurité des fournisseurs (ARM-POL-006)</w:t>
      </w:r>
    </w:p>
    <w:p>
      <w:pPr>
        <w:pStyle w:val="ListParagraph"/>
        <w:numPr>
          <w:ilvl w:val="0"/>
          <w:numId w:val="2"/>
        </w:numPr>
        <w:spacing w:after="60"/>
      </w:pPr>
      <w:r>
        <w:t xml:space="preserve">Procédure d'arrivées et départs (ARM-PRO-003)</w:t>
      </w:r>
    </w:p>
    <w:p>
      <w:pPr>
        <w:pStyle w:val="ListParagraph"/>
        <w:numPr>
          <w:ilvl w:val="0"/>
          <w:numId w:val="2"/>
        </w:numPr>
        <w:spacing w:after="60"/>
      </w:pPr>
      <w:r>
        <w:t xml:space="preserve">Analyse des risques (ARM-RSK-001)</w:t>
      </w:r>
    </w:p>
    <w:p>
      <w:pPr>
        <w:pStyle w:val="ListParagraph"/>
        <w:numPr>
          <w:ilvl w:val="0"/>
          <w:numId w:val="2"/>
        </w:numPr>
        <w:spacing w:after="60"/>
      </w:pPr>
      <w:r>
        <w:t xml:space="preserve">Déclaration d'applicabilité (ARM-RSK-002)</w:t>
      </w:r>
    </w:p>
    <w:p>
      <w:pPr>
        <w:spacing w:before="240"/>
      </w:pPr>
      <w:r>
        <w:rPr>
          <w:i/>
          <w:iCs/>
        </w:rPr>
        <w:t xml:space="preserve">Document approuvé par le comité de sécurité le 12 février 2026.</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28"/>
      <w:szCs w:val="28"/>
    </w:rPr>
  </w:style>
  <w:style w:type="paragraph" w:styleId="Heading2">
    <w:name w:val="Heading 2"/>
    <w:basedOn w:val="Normal"/>
    <w:next w:val="Normal"/>
    <w:qFormat/>
    <w:rPr>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2026-10-24T12:42:32.830Z</dcterms:created>
  <dcterms:modified xsi:type="dcterms:W3CDTF">2026-10-24T12:42:32.837Z</dcterms:modified>
</cp:coreProperties>
</file>

<file path=docProps/custom.xml><?xml version="1.0" encoding="utf-8"?>
<Properties xmlns="http://schemas.openxmlformats.org/officeDocument/2006/custom-properties" xmlns:vt="http://schemas.openxmlformats.org/officeDocument/2006/docPropsVTypes"/>
</file>