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classification et de gestion de l'information</w:t>
      </w:r>
    </w:p>
    <w:p>
      <w:r>
        <w:rPr>
          <w:color w:val="555555"/>
          <w:sz w:val="18"/>
        </w:rPr>
        <w:t>Référence : ARM-POL-002  |  Version : 1.1  |  Date : 15 mai 2025  |  Propriétaire : RSSI  |  Approbation : Comité de sécurité  |  Classification : Interne</w:t>
      </w:r>
    </w:p>
    <w:p>
      <w:r>
        <w:rPr>
          <w:sz w:val="18"/>
        </w:rPr>
        <w:t>Armor Logistique SAS – document fictif à usage pédagogique</w:t>
      </w:r>
    </w:p>
    <w:p>
      <w:pPr>
        <w:pStyle w:val="Heading1"/>
      </w:pPr>
      <w:r>
        <w:t>1. Objet</w:t>
      </w:r>
    </w:p>
    <w:p>
      <w:r>
        <w:t>Cette politique définit les niveaux de classification de l'information utilisés par Armor Logistique et les règles de manipulation associées. Son objectif est d'appliquer à chaque information un niveau de protection proportionné à sa sensibilité.</w:t>
      </w:r>
    </w:p>
    <w:p>
      <w:pPr>
        <w:pStyle w:val="Heading1"/>
      </w:pPr>
      <w:r>
        <w:t>2. Responsabilités</w:t>
      </w:r>
    </w:p>
    <w:p>
      <w:r>
        <w:t>Le propriétaire de l'information, généralement le responsable métier qui la produit, détermine son niveau de classification. Chaque collaborateur qui manipule une information respecte les règles associées à son niveau. Le RSSI définit les règles de protection et contrôle leur application.</w:t>
      </w:r>
    </w:p>
    <w:p>
      <w:pPr>
        <w:pStyle w:val="Heading1"/>
      </w:pPr>
      <w:r>
        <w:t>3. Niveaux de classification</w:t>
      </w:r>
    </w:p>
    <w:p>
      <w:r>
        <w:t>Armor Logistique utilise quatre niveaux de classification.</w:t>
      </w:r>
    </w:p>
    <w:p>
      <w:pPr>
        <w:pStyle w:val="Heading2"/>
      </w:pPr>
      <w:r>
        <w:t>3.1 Public</w:t>
      </w:r>
    </w:p>
    <w:p>
      <w:r>
        <w:t>Informations destinées à être diffusées à l'extérieur sans restriction : plaquettes commerciales, offres d'emploi, communiqués de presse, contenu du site internet. Leur divulgation n'a aucun impact.</w:t>
      </w:r>
    </w:p>
    <w:p>
      <w:pPr>
        <w:pStyle w:val="Heading2"/>
      </w:pPr>
      <w:r>
        <w:t>3.2 Interne</w:t>
      </w:r>
    </w:p>
    <w:p>
      <w:r>
        <w:t>Informations destinées aux collaborateurs de l'entreprise : procédures internes, organigrammes, notes de service, planning général. Leur divulgation à l'extérieur aurait un impact limité. C'est le niveau par défaut de toute information non classée.</w:t>
      </w:r>
    </w:p>
    <w:p>
      <w:pPr>
        <w:pStyle w:val="Heading2"/>
      </w:pPr>
      <w:r>
        <w:t>3.3 Confidentiel</w:t>
      </w:r>
    </w:p>
    <w:p>
      <w:r>
        <w:t>Informations dont la divulgation pourrait porter un préjudice significatif à l'entreprise, à ses clients ou à ses salariés : contrats et tarifs clients, données de paie, dossiers du personnel, plans de transport des clients, résultats financiers non publiés, rapports d'audit de sécurité. L'accès est limité aux personnes ayant besoin d'en connaître.</w:t>
      </w:r>
    </w:p>
    <w:p>
      <w:pPr>
        <w:pStyle w:val="Heading2"/>
      </w:pPr>
      <w:r>
        <w:t>3.4 Secret</w:t>
      </w:r>
    </w:p>
    <w:p>
      <w:r>
        <w:t>Informations dont la divulgation pourrait mettre en danger la pérennité de l'entreprise : projets de fusion ou d'acquisition, informations stratégiques du comité de direction, éléments de sécurité critiques comme les mots de passe des comptes d'administration ou les clés de chiffrement. L'accès est limité à une liste nominative de personnes.</w:t>
      </w:r>
    </w:p>
    <w:p>
      <w:pPr>
        <w:pStyle w:val="Heading1"/>
      </w:pPr>
      <w:r>
        <w:t>4. Marquage</w:t>
      </w:r>
    </w:p>
    <w:p>
      <w:r>
        <w:t>Les documents classés « Confidentiel » ou « Secret » portent la mention de leur niveau en en-tête ou en pied de page. Les documents « Interne » et « Public » ne font pas l'objet d'un marquage obligatoire.</w:t>
      </w:r>
    </w:p>
    <w:p>
      <w:pPr>
        <w:pStyle w:val="Heading1"/>
      </w:pPr>
      <w:r>
        <w:t>5. Règles de manipulation</w:t>
      </w:r>
    </w:p>
    <w:p>
      <w:pPr>
        <w:pStyle w:val="Heading2"/>
      </w:pPr>
      <w:r>
        <w:t>5.1 Stockage</w:t>
      </w:r>
    </w:p>
    <w:p>
      <w:pPr>
        <w:pStyle w:val="ListBullet"/>
      </w:pPr>
      <w:r>
        <w:t>Interne : espaces de stockage de l'entreprise (serveurs de fichiers, SharePoint, OneDrive).</w:t>
      </w:r>
    </w:p>
    <w:p>
      <w:pPr>
        <w:pStyle w:val="ListBullet"/>
      </w:pPr>
      <w:r>
        <w:t>Confidentiel : espaces de stockage de l'entreprise dont l'accès est restreint aux personnes habilitées.</w:t>
      </w:r>
    </w:p>
    <w:p>
      <w:pPr>
        <w:pStyle w:val="ListBullet"/>
      </w:pPr>
      <w:r>
        <w:t>Secret : espace dédié à accès nominatif, avec chiffrement des fichiers.</w:t>
      </w:r>
    </w:p>
    <w:p>
      <w:pPr>
        <w:pStyle w:val="Heading2"/>
      </w:pPr>
      <w:r>
        <w:t>5.2 Transmission</w:t>
      </w:r>
    </w:p>
    <w:p>
      <w:pPr>
        <w:pStyle w:val="ListBullet"/>
      </w:pPr>
      <w:r>
        <w:t>Interne : par la messagerie de l'entreprise, uniquement vers des destinataires internes.</w:t>
      </w:r>
    </w:p>
    <w:p>
      <w:pPr>
        <w:pStyle w:val="ListBullet"/>
      </w:pPr>
      <w:r>
        <w:t>Confidentiel : par la messagerie de l'entreprise vers l'extérieur uniquement si nécessaire, de préférence par un lien de partage sécurisé à durée limitée plutôt qu'en pièce jointe.</w:t>
      </w:r>
    </w:p>
    <w:p>
      <w:pPr>
        <w:pStyle w:val="ListBullet"/>
      </w:pPr>
      <w:r>
        <w:t>Secret : remise en main propre ou partage sur l'espace dédié, jamais par messagerie.</w:t>
      </w:r>
    </w:p>
    <w:p>
      <w:pPr>
        <w:pStyle w:val="Heading2"/>
      </w:pPr>
      <w:r>
        <w:t>5.3 Impression</w:t>
      </w:r>
    </w:p>
    <w:p>
      <w:r>
        <w:t>Les documents « Confidentiel » et « Secret » sont imprimés sur les imprimantes avec libération par badge. Ils ne doivent pas être laissés sur les bureaux ou dans les imprimantes.</w:t>
      </w:r>
    </w:p>
    <w:p>
      <w:pPr>
        <w:pStyle w:val="Heading2"/>
      </w:pPr>
      <w:r>
        <w:t>5.4 Supports amovibles</w:t>
      </w:r>
    </w:p>
    <w:p>
      <w:r>
        <w:t>La copie d'informations « Confidentiel » ou « Secret » sur des supports amovibles est interdite, sauf dérogation accordée par le RSSI. Dans ce cas, le support doit être chiffré.</w:t>
      </w:r>
    </w:p>
    <w:p>
      <w:pPr>
        <w:pStyle w:val="Heading2"/>
      </w:pPr>
      <w:r>
        <w:t>5.5 Destruction</w:t>
      </w:r>
    </w:p>
    <w:p>
      <w:pPr>
        <w:pStyle w:val="ListBullet"/>
      </w:pPr>
      <w:r>
        <w:t>Documents papier « Confidentiel » et « Secret » : destruction dans les conteneurs sécurisés prévus à cet effet, collectés par un prestataire de destruction certifié.</w:t>
      </w:r>
    </w:p>
    <w:p>
      <w:pPr>
        <w:pStyle w:val="ListBullet"/>
      </w:pPr>
      <w:r>
        <w:t>Supports informatiques : effacement sécurisé ou destruction physique avant réforme ou recyclage, avec un certificat de destruction.</w:t>
      </w:r>
    </w:p>
    <w:p>
      <w:pPr>
        <w:pStyle w:val="Heading1"/>
      </w:pPr>
      <w:r>
        <w:t>6. Classification des données personnelles</w:t>
      </w:r>
    </w:p>
    <w:p>
      <w:r>
        <w:t>Les données personnelles des salariés et des chauffeurs sont au minimum classées « Confidentiel ». Les données de géolocalisation des véhicules, qui permettent d'identifier indirectement les chauffeurs, sont également classées « Confidentiel ».</w:t>
      </w:r>
    </w:p>
    <w:p>
      <w:pPr>
        <w:pStyle w:val="Heading1"/>
      </w:pPr>
      <w:r>
        <w:t>7. Inventaire des informations</w:t>
      </w:r>
    </w:p>
    <w:p>
      <w:r>
        <w:t>Les principales catégories d'informations et leur niveau de classification sont recensées dans l'inventaire des actifs tenu par la DSI. Cet inventaire est mis à jour lors de la mise en service de toute nouvelle application.</w:t>
      </w:r>
    </w:p>
    <w:p>
      <w:pPr>
        <w:pStyle w:val="Heading1"/>
      </w:pPr>
      <w:r>
        <w:t>8. Reclassification</w:t>
      </w:r>
    </w:p>
    <w:p>
      <w:r>
        <w:t>Le niveau de classification d'une information peut évoluer dans le temps. Par exemple, des résultats financiers deviennent publics après leur publication officielle. Seul le propriétaire de l'information peut décider de sa reclassification.</w:t>
      </w:r>
    </w:p>
    <w:p>
      <w:pPr>
        <w:pStyle w:val="Heading1"/>
      </w:pPr>
      <w:r>
        <w:t>9. Contrôle</w:t>
      </w:r>
    </w:p>
    <w:p>
      <w:r>
        <w:t>Le RSSI réalise des contrôles ponctuels : documents confidentiels laissés sur les imprimantes, droits d'accès aux dossiers confidentiels, partages externes dans SharePoint et OneDrive.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