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Politique de sécurité des relations avec les fournisseurs</w:t>
      </w:r>
    </w:p>
    <w:p>
      <w:r>
        <w:rPr>
          <w:color w:val="555555"/>
          <w:sz w:val="18"/>
        </w:rPr>
        <w:t>Référence : ARM-POL-006  |  Version : 1.0  |  Date : 18 septembre 2025  |  Propriétaire : Direction des achats  |  Approbation : RSSI  |  Classification : Interne</w:t>
      </w:r>
    </w:p>
    <w:p>
      <w:r>
        <w:rPr>
          <w:sz w:val="18"/>
        </w:rPr>
        <w:t>Armor Logistique SAS – document fictif à usage pédagogique</w:t>
      </w:r>
    </w:p>
    <w:p>
      <w:pPr>
        <w:pStyle w:val="Heading1"/>
      </w:pPr>
      <w:r>
        <w:t>1. Objet</w:t>
      </w:r>
    </w:p>
    <w:p>
      <w:r>
        <w:t>Armor Logistique s'appuie sur plusieurs prestataires pour faire fonctionner son système d'information. Une faille chez un fournisseur peut affecter directement la sécurité de l'entreprise. Cette politique définit les règles de sécurité applicables aux relations avec les fournisseurs, en lien avec les exigences de la directive NIS2 sur la sécurité de la chaîne d'approvisionnement.</w:t>
      </w:r>
    </w:p>
    <w:p>
      <w:pPr>
        <w:pStyle w:val="Heading1"/>
      </w:pPr>
      <w:r>
        <w:t>2. Périmètre</w:t>
      </w:r>
    </w:p>
    <w:p>
      <w:r>
        <w:t>Sont concernés les fournisseurs qui accèdent au système d'information, qui hébergent ou traitent des données de l'entreprise, ou dont la défaillance affecterait l'activité. Les principaux fournisseurs concernés sont :</w:t>
      </w:r>
    </w:p>
    <w:p>
      <w:pPr>
        <w:pStyle w:val="ListBullet"/>
      </w:pPr>
      <w:r>
        <w:t>l'éditeur du WMS, fourni en mode SaaS ;</w:t>
      </w:r>
    </w:p>
    <w:p>
      <w:pPr>
        <w:pStyle w:val="ListBullet"/>
      </w:pPr>
      <w:r>
        <w:t>le prestataire d'infogérance réseau, qui administre le pare-feu et le VPN ;</w:t>
      </w:r>
    </w:p>
    <w:p>
      <w:pPr>
        <w:pStyle w:val="ListBullet"/>
      </w:pPr>
      <w:r>
        <w:t>Microsoft, pour la messagerie et la bureautique ;</w:t>
      </w:r>
    </w:p>
    <w:p>
      <w:pPr>
        <w:pStyle w:val="ListBullet"/>
      </w:pPr>
      <w:r>
        <w:t>l'éditeur de la solution de géolocalisation des véhicules ;</w:t>
      </w:r>
    </w:p>
    <w:p>
      <w:pPr>
        <w:pStyle w:val="ListBullet"/>
      </w:pPr>
      <w:r>
        <w:t>le prestataire de maintenance des imprimantes et des terminaux de quai.</w:t>
      </w:r>
    </w:p>
    <w:p>
      <w:pPr>
        <w:pStyle w:val="Heading1"/>
      </w:pPr>
      <w:r>
        <w:t>3. Classification des fournisseurs</w:t>
      </w:r>
    </w:p>
    <w:p>
      <w:r>
        <w:t>Les fournisseurs sont classés en deux catégories :</w:t>
      </w:r>
    </w:p>
    <w:p>
      <w:pPr>
        <w:pStyle w:val="ListBullet"/>
      </w:pPr>
      <w:r>
        <w:t>fournisseurs critiques : leur défaillance ou leur compromission affecterait fortement l'activité ou la sécurité (éditeur du WMS, prestataire d'infogérance réseau, Microsoft) ;</w:t>
      </w:r>
    </w:p>
    <w:p>
      <w:pPr>
        <w:pStyle w:val="ListBullet"/>
      </w:pPr>
      <w:r>
        <w:t>fournisseurs standards : tous les autres.</w:t>
      </w:r>
    </w:p>
    <w:p>
      <w:pPr>
        <w:pStyle w:val="Heading1"/>
      </w:pPr>
      <w:r>
        <w:t>4. Sélection des fournisseurs</w:t>
      </w:r>
    </w:p>
    <w:p>
      <w:r>
        <w:t>Avant la signature d'un contrat avec un fournisseur critique, la direction des achats transmet au fournisseur un questionnaire de sécurité. Les réponses sont analysées par le RSSI, qui émet un avis. Cet avis est consultatif.</w:t>
      </w:r>
    </w:p>
    <w:p>
      <w:pPr>
        <w:pStyle w:val="Heading1"/>
      </w:pPr>
      <w:r>
        <w:t>5. Exigences contractuelles</w:t>
      </w:r>
    </w:p>
    <w:p>
      <w:r>
        <w:t>Les contrats avec les fournisseurs critiques comprennent :</w:t>
      </w:r>
    </w:p>
    <w:p>
      <w:pPr>
        <w:pStyle w:val="ListBullet"/>
      </w:pPr>
      <w:r>
        <w:t>une clause de confidentialité ;</w:t>
      </w:r>
    </w:p>
    <w:p>
      <w:pPr>
        <w:pStyle w:val="ListBullet"/>
      </w:pPr>
      <w:r>
        <w:t>l'engagement du fournisseur à respecter la PSSI d'Armor Logistique lorsqu'il intervient sur le système d'information ;</w:t>
      </w:r>
    </w:p>
    <w:p>
      <w:pPr>
        <w:pStyle w:val="ListBullet"/>
      </w:pPr>
      <w:r>
        <w:t>pour les fournisseurs qui traitent des données personnelles, un accord de traitement des données conforme à l'article 28 du RGPD ;</w:t>
      </w:r>
    </w:p>
    <w:p>
      <w:pPr>
        <w:pStyle w:val="ListBullet"/>
      </w:pPr>
      <w:r>
        <w:t>des engagements de niveau de service (disponibilité, délais d'intervention).</w:t>
      </w:r>
    </w:p>
    <w:p>
      <w:pPr>
        <w:pStyle w:val="Heading1"/>
      </w:pPr>
      <w:r>
        <w:t>6. Accès des fournisseurs au système d'information</w:t>
      </w:r>
    </w:p>
    <w:p>
      <w:r>
        <w:t>Les fournisseurs qui doivent intervenir à distance sur le système d'information utilisent un compte nominatif et se connectent par le VPN. Les comptes des fournisseurs sont créés à la demande du DSI et désactivés à la fin de la prestation.</w:t>
      </w:r>
    </w:p>
    <w:p>
      <w:r>
        <w:t>Le prestataire d'infogérance réseau dispose d'un accès permanent au pare-feu et au concentrateur VPN pour assurer la maintenance.</w:t>
      </w:r>
    </w:p>
    <w:p>
      <w:pPr>
        <w:pStyle w:val="Heading1"/>
      </w:pPr>
      <w:r>
        <w:t>7. Suivi des fournisseurs</w:t>
      </w:r>
    </w:p>
    <w:p>
      <w:r>
        <w:t>La direction des achats organise une réunion annuelle avec chaque fournisseur critique pour faire le point sur la qualité de service. Les incidents survenus chez le fournisseur et ayant affecté Armor Logistique sont abordés lors de cette réunion.</w:t>
      </w:r>
    </w:p>
    <w:p>
      <w:pPr>
        <w:pStyle w:val="Heading1"/>
      </w:pPr>
      <w:r>
        <w:t>8. Fin de contrat</w:t>
      </w:r>
    </w:p>
    <w:p>
      <w:r>
        <w:t>À la fin d'un contrat, le fournisseur restitue ou détruit les données de l'entreprise qu'il détient. Les accès du fournisseur au système d'information sont supprimés.</w:t>
      </w:r>
    </w:p>
    <w:p>
      <w:pPr>
        <w:pStyle w:val="Heading1"/>
      </w:pPr>
      <w:r>
        <w:t>9. Registre des fournisseurs</w:t>
      </w:r>
    </w:p>
    <w:p>
      <w:r>
        <w:t>La direction des achats tient la liste des contrats en cours. Cette liste indique pour chaque fournisseur la date de fin du contrat et le service interne responsable.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