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Procédure de gestion des incidents de sécurité et de notification</w:t>
      </w:r>
    </w:p>
    <w:p>
      <w:r>
        <w:rPr>
          <w:color w:val="555555"/>
          <w:sz w:val="18"/>
        </w:rPr>
        <w:t>Référence : ARM-PRO-001  |  Version : 2.0  |  Date : 7 octobre 2025  |  Propriétaire : RSSI  |  Approbation : Comité de sécurité  |  Classification : Interne</w:t>
      </w:r>
    </w:p>
    <w:p>
      <w:r>
        <w:rPr>
          <w:sz w:val="18"/>
        </w:rPr>
        <w:t>Armor Logistique SAS – document fictif à usage pédagogique</w:t>
      </w:r>
    </w:p>
    <w:p>
      <w:pPr>
        <w:pStyle w:val="Heading1"/>
      </w:pPr>
      <w:r>
        <w:t>1. Objet</w:t>
      </w:r>
    </w:p>
    <w:p>
      <w:r>
        <w:t>Cette procédure décrit la manière dont Armor Logistique détecte, qualifie, traite et notifie les incidents de sécurité. Elle s'inspire du cycle de réponse à incident du NIST : préparation, détection et analyse, confinement, éradication et rétablissement, activités post-incident.</w:t>
      </w:r>
    </w:p>
    <w:p>
      <w:pPr>
        <w:pStyle w:val="Heading1"/>
      </w:pPr>
      <w:r>
        <w:t>2. Définitions</w:t>
      </w:r>
    </w:p>
    <w:p>
      <w:pPr>
        <w:pStyle w:val="ListBullet"/>
      </w:pPr>
      <w:r>
        <w:t>Événement de sécurité : toute observation pouvant avoir un lien avec la sécurité, par exemple une alerte de l'antivirus.</w:t>
      </w:r>
    </w:p>
    <w:p>
      <w:pPr>
        <w:pStyle w:val="ListBullet"/>
      </w:pPr>
      <w:r>
        <w:t>Incident de sécurité : événement qui compromet ou risque de compromettre la disponibilité, l'intégrité ou la confidentialité de l'information.</w:t>
      </w:r>
    </w:p>
    <w:p>
      <w:pPr>
        <w:pStyle w:val="ListBullet"/>
      </w:pPr>
      <w:r>
        <w:t>Violation de données personnelles : incident entraînant la destruction, la perte, l'altération, la divulgation ou l'accès non autorisé à des données personnelles.</w:t>
      </w:r>
    </w:p>
    <w:p>
      <w:pPr>
        <w:pStyle w:val="Heading1"/>
      </w:pPr>
      <w:r>
        <w:t>3. Signalement</w:t>
      </w:r>
    </w:p>
    <w:p>
      <w:r>
        <w:t>Tout collaborateur qui constate un événement suspect le signale immédiatement au support informatique, par téléphone au poste 2222 ou par le portail de ticketing. Les alertes du SIEM et de l'antivirus sont reçues directement par l'équipe DSI.</w:t>
      </w:r>
    </w:p>
    <w:p>
      <w:pPr>
        <w:pStyle w:val="Heading1"/>
      </w:pPr>
      <w:r>
        <w:t>4. Qualification</w:t>
      </w:r>
    </w:p>
    <w:p>
      <w:r>
        <w:t>L'administrateur de permanence analyse le signalement et détermine s'il s'agit d'un incident. Il évalue sa gravité selon l'échelle suivante :</w:t>
      </w:r>
    </w:p>
    <w:p>
      <w:pPr>
        <w:pStyle w:val="ListBullet"/>
      </w:pPr>
      <w:r>
        <w:t>faible : impact limité à un poste ou un utilisateur, sans perte de données ;</w:t>
      </w:r>
    </w:p>
    <w:p>
      <w:pPr>
        <w:pStyle w:val="ListBullet"/>
      </w:pPr>
      <w:r>
        <w:t>moyenne : impact sur plusieurs utilisateurs ou sur une application non critique ;</w:t>
      </w:r>
    </w:p>
    <w:p>
      <w:pPr>
        <w:pStyle w:val="ListBullet"/>
      </w:pPr>
      <w:r>
        <w:t>élevée : impact sur une application critique (TMS, WMS, ERP) ou compromission d'un compte d'administration ;</w:t>
      </w:r>
    </w:p>
    <w:p>
      <w:pPr>
        <w:pStyle w:val="ListBullet"/>
      </w:pPr>
      <w:r>
        <w:t>critique : arrêt de l'activité sur un ou plusieurs sites, rançongiciel, fuite de données massive.</w:t>
      </w:r>
    </w:p>
    <w:p>
      <w:r>
        <w:t>Les incidents de gravité élevée ou critique sont escaladés sans délai au DSI et au RSSI.</w:t>
      </w:r>
    </w:p>
    <w:p>
      <w:pPr>
        <w:pStyle w:val="Heading1"/>
      </w:pPr>
      <w:r>
        <w:t>5. Traitement</w:t>
      </w:r>
    </w:p>
    <w:p>
      <w:pPr>
        <w:pStyle w:val="Heading2"/>
      </w:pPr>
      <w:r>
        <w:t>5.1 Confinement</w:t>
      </w:r>
    </w:p>
    <w:p>
      <w:r>
        <w:t>L'objectif est d'empêcher la propagation de l'incident : isolement réseau du poste ou du serveur concerné, désactivation du compte compromis, blocage d'une adresse IP sur le pare-feu.</w:t>
      </w:r>
    </w:p>
    <w:p>
      <w:pPr>
        <w:pStyle w:val="Heading2"/>
      </w:pPr>
      <w:r>
        <w:t>5.2 Éradication</w:t>
      </w:r>
    </w:p>
    <w:p>
      <w:r>
        <w:t>La cause de l'incident est supprimée : suppression du logiciel malveillant, réinstallation du poste, correction de la vulnérabilité exploitée, réinitialisation des mots de passe.</w:t>
      </w:r>
    </w:p>
    <w:p>
      <w:pPr>
        <w:pStyle w:val="Heading2"/>
      </w:pPr>
      <w:r>
        <w:t>5.3 Rétablissement</w:t>
      </w:r>
    </w:p>
    <w:p>
      <w:r>
        <w:t>Les systèmes sont remis en service après vérification de leur intégrité, si besoin à partir des sauvegardes. Une surveillance renforcée est maintenue pendant plusieurs jours.</w:t>
      </w:r>
    </w:p>
    <w:p>
      <w:pPr>
        <w:pStyle w:val="Heading2"/>
      </w:pPr>
      <w:r>
        <w:t>5.4 Conservation des preuves</w:t>
      </w:r>
    </w:p>
    <w:p>
      <w:r>
        <w:t>Avant toute réinstallation, les éléments utiles à l'enquête sont conservés : journaux, copie du disque ou de la mémoire si possible. En cas d'incident grave, l'entreprise peut faire appel à un prestataire de réponse aux incidents de sécurité.</w:t>
      </w:r>
    </w:p>
    <w:p>
      <w:pPr>
        <w:pStyle w:val="Heading1"/>
      </w:pPr>
      <w:r>
        <w:t>6. Cellule de crise</w:t>
      </w:r>
    </w:p>
    <w:p>
      <w:r>
        <w:t>En cas d'incident critique, le Directeur général active la cellule de crise décrite dans le plan de continuité d'activité (ARM-PRO-002).</w:t>
      </w:r>
    </w:p>
    <w:p>
      <w:pPr>
        <w:pStyle w:val="Heading1"/>
      </w:pPr>
      <w:r>
        <w:t>7. Notifications</w:t>
      </w:r>
    </w:p>
    <w:p>
      <w:pPr>
        <w:pStyle w:val="Heading2"/>
      </w:pPr>
      <w:r>
        <w:t>7.1 Notification à la CNIL</w:t>
      </w:r>
    </w:p>
    <w:p>
      <w:r>
        <w:t>Si l'incident constitue une violation de données personnelles présentant un risque pour les personnes, le DPO la notifie à la CNIL dans un délai de 72 heures après sa découverte, conformément à l'article 33 du RGPD.</w:t>
      </w:r>
    </w:p>
    <w:p>
      <w:pPr>
        <w:pStyle w:val="Heading2"/>
      </w:pPr>
      <w:r>
        <w:t>7.2 Notification à l'ANSSI au titre de NIS2</w:t>
      </w:r>
    </w:p>
    <w:p>
      <w:r>
        <w:t>Les incidents ayant un impact important sur la fourniture des services de transport sont notifiés à l'ANSSI par le RSSI, au moyen d'une notification dans un délai de 72 heures après leur détection. Un rapport final est transmis dans un délai d'un mois.</w:t>
      </w:r>
    </w:p>
    <w:p>
      <w:pPr>
        <w:pStyle w:val="Heading2"/>
      </w:pPr>
      <w:r>
        <w:t>7.3 Clients</w:t>
      </w:r>
    </w:p>
    <w:p>
      <w:r>
        <w:t>Les clients dont les données ou les prestations sont affectées sont informés par la direction commerciale, selon les termes de leur contrat.</w:t>
      </w:r>
    </w:p>
    <w:p>
      <w:pPr>
        <w:pStyle w:val="Heading2"/>
      </w:pPr>
      <w:r>
        <w:t>7.4 Dépôt de plainte</w:t>
      </w:r>
    </w:p>
    <w:p>
      <w:r>
        <w:t>En cas d'acte malveillant, l'entreprise dépose plainte auprès de la police ou de la gendarmerie.</w:t>
      </w:r>
    </w:p>
    <w:p>
      <w:pPr>
        <w:pStyle w:val="Heading1"/>
      </w:pPr>
      <w:r>
        <w:t>8. Registre des incidents</w:t>
      </w:r>
    </w:p>
    <w:p>
      <w:r>
        <w:t>Chaque incident est enregistré dans l'outil de ticketing avec sa date, sa description, sa gravité, les actions réalisées et sa date de clôture.</w:t>
      </w:r>
    </w:p>
    <w:p>
      <w:pPr>
        <w:pStyle w:val="Heading1"/>
      </w:pPr>
      <w:r>
        <w:t>9. Retour d'expérience</w:t>
      </w:r>
    </w:p>
    <w:p>
      <w:r>
        <w:t>Un retour d'expérience est organisé après chaque incident de gravité élevée ou critique, dans un délai d'un mois. Il identifie les causes, les points à améliorer et les actions correctives, qui sont suivies par le comité de sécurité.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