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 de continuité et de reprise d'activité (PCA / PRA)</w:t>
      </w:r>
    </w:p>
    <w:p>
      <w:r>
        <w:rPr>
          <w:color w:val="555555"/>
          <w:sz w:val="18"/>
        </w:rPr>
        <w:t>Référence : ARM-PRO-002  |  Version : 1.2  |  Date : 30 juin 2025  |  Propriétaire : Direction générale  |  Rédaction : DSI et RSSI  |  Classification : Confidentiel</w:t>
      </w:r>
    </w:p>
    <w:p>
      <w:r>
        <w:rPr>
          <w:sz w:val="18"/>
        </w:rPr>
        <w:t>Armor Logistique SAS – document fictif à usage pédagogique</w:t>
      </w:r>
    </w:p>
    <w:p>
      <w:pPr>
        <w:pStyle w:val="Heading1"/>
      </w:pPr>
      <w:r>
        <w:t>1. Objet</w:t>
      </w:r>
    </w:p>
    <w:p>
      <w:r>
        <w:t>Ce plan décrit l'organisation mise en place par Armor Logistique pour maintenir ses activités essentielles en cas de sinistre affectant le système d'information, puis pour rétablir le fonctionnement normal. Le plan de continuité d'activité (PCA) traite du maintien de l'activité, éventuellement en mode dégradé. Le plan de reprise d'activité (PRA) traite du redémarrage des systèmes informatiques.</w:t>
      </w:r>
    </w:p>
    <w:p>
      <w:pPr>
        <w:pStyle w:val="Heading1"/>
      </w:pPr>
      <w:r>
        <w:t>2. Scénarios couverts</w:t>
      </w:r>
    </w:p>
    <w:p>
      <w:pPr>
        <w:pStyle w:val="ListBullet"/>
      </w:pPr>
      <w:r>
        <w:t>Indisponibilité de la salle informatique du siège (incendie, inondation, panne électrique prolongée).</w:t>
      </w:r>
    </w:p>
    <w:p>
      <w:pPr>
        <w:pStyle w:val="ListBullet"/>
      </w:pPr>
      <w:r>
        <w:t>Attaque par rançongiciel chiffrant les serveurs.</w:t>
      </w:r>
    </w:p>
    <w:p>
      <w:pPr>
        <w:pStyle w:val="ListBullet"/>
      </w:pPr>
      <w:r>
        <w:t>Panne prolongée d'un service externe critique (WMS SaaS, Microsoft 365).</w:t>
      </w:r>
    </w:p>
    <w:p>
      <w:pPr>
        <w:pStyle w:val="ListBullet"/>
      </w:pPr>
      <w:r>
        <w:t>Indisponibilité de la liaison Internet d'un site.</w:t>
      </w:r>
    </w:p>
    <w:p>
      <w:pPr>
        <w:pStyle w:val="Heading1"/>
      </w:pPr>
      <w:r>
        <w:t>3. Activités essentielles et objectifs de reprise</w:t>
      </w:r>
    </w:p>
    <w:p>
      <w:r>
        <w:t>L'analyse d'impact sur l'activité, réalisée avec la direction des opérations, a permis de définir pour chaque application une durée maximale d'interruption admissible (DMIA, en anglais RTO) et une perte de données maximale admissible (PDMA, en anglais RPO) :</w:t>
      </w:r>
    </w:p>
    <w:p>
      <w:pPr>
        <w:pStyle w:val="ListBullet"/>
      </w:pPr>
      <w:r>
        <w:t>TMS : RTO 4 heures, RPO 1 heure ;</w:t>
      </w:r>
    </w:p>
    <w:p>
      <w:pPr>
        <w:pStyle w:val="ListBullet"/>
      </w:pPr>
      <w:r>
        <w:t>WMS : RTO 4 heures, RPO 1 heure, selon les engagements de l'éditeur ;</w:t>
      </w:r>
    </w:p>
    <w:p>
      <w:pPr>
        <w:pStyle w:val="ListBullet"/>
      </w:pPr>
      <w:r>
        <w:t>ERP : RTO 48 heures, RPO 24 heures ;</w:t>
      </w:r>
    </w:p>
    <w:p>
      <w:pPr>
        <w:pStyle w:val="ListBullet"/>
      </w:pPr>
      <w:r>
        <w:t>messagerie : RTO 8 heures, RPO 24 heures ;</w:t>
      </w:r>
    </w:p>
    <w:p>
      <w:pPr>
        <w:pStyle w:val="ListBullet"/>
      </w:pPr>
      <w:r>
        <w:t>paie : RTO 5 jours, RPO 24 heures.</w:t>
      </w:r>
    </w:p>
    <w:p>
      <w:pPr>
        <w:pStyle w:val="Heading1"/>
      </w:pPr>
      <w:r>
        <w:t>4. Mesures de continuité (mode dégradé)</w:t>
      </w:r>
    </w:p>
    <w:p>
      <w:r>
        <w:t>En cas d'indisponibilité du TMS, les exploitants impriment chaque soir le planning des tournées du lendemain. Ce planning papier permet d'assurer les livraisons prévues pendant 24 heures. Les chauffeurs sont joints par téléphone.</w:t>
      </w:r>
    </w:p>
    <w:p>
      <w:r>
        <w:t>En cas d'indisponibilité du WMS, les entrepôts appliquent la procédure de gestion manuelle des expéditions, à l'aide de bons de préparation imprimés.</w:t>
      </w:r>
    </w:p>
    <w:p>
      <w:pPr>
        <w:pStyle w:val="Heading1"/>
      </w:pPr>
      <w:r>
        <w:t>5. Cellule de crise</w:t>
      </w:r>
    </w:p>
    <w:p>
      <w:pPr>
        <w:pStyle w:val="Heading2"/>
      </w:pPr>
      <w:r>
        <w:t>5.1 Composition</w:t>
      </w:r>
    </w:p>
    <w:p>
      <w:r>
        <w:t>La cellule de crise est présidée par le Directeur général. Elle comprend le DSI, le RSSI, le Directeur des opérations, la Directrice des ressources humaines, le DPO et le responsable de la communication.</w:t>
      </w:r>
    </w:p>
    <w:p>
      <w:pPr>
        <w:pStyle w:val="Heading2"/>
      </w:pPr>
      <w:r>
        <w:t>5.2 Activation</w:t>
      </w:r>
    </w:p>
    <w:p>
      <w:r>
        <w:t>La cellule de crise est activée par le Directeur général sur proposition du DSI ou du RSSI. Elle se réunit dans la salle de réunion du siège ou, si le siège est inaccessible, dans les locaux de l'entrepôt de Nantes.</w:t>
      </w:r>
    </w:p>
    <w:p>
      <w:pPr>
        <w:pStyle w:val="Heading2"/>
      </w:pPr>
      <w:r>
        <w:t>5.3 Communication de crise</w:t>
      </w:r>
    </w:p>
    <w:p>
      <w:r>
        <w:t>Une liste des contacts d'urgence (membres de la cellule, prestataires, assureur, autorités) est tenue par le DSI. Une version imprimée est conservée dans le coffre du siège. Les messages destinés aux salariés, aux clients et à la presse sont validés par le Directeur général.</w:t>
      </w:r>
    </w:p>
    <w:p>
      <w:pPr>
        <w:pStyle w:val="Heading1"/>
      </w:pPr>
      <w:r>
        <w:t>6. Procédures de reprise</w:t>
      </w:r>
    </w:p>
    <w:p>
      <w:pPr>
        <w:pStyle w:val="Heading2"/>
      </w:pPr>
      <w:r>
        <w:t>6.1 Perte de la salle informatique du siège</w:t>
      </w:r>
    </w:p>
    <w:p>
      <w:r>
        <w:t>Les serveurs sont restaurés à partir de la copie des sauvegardes située à Nantes, sur des serveurs de remplacement fournis par le prestataire de location de matériel dans un délai de 48 heures.</w:t>
      </w:r>
    </w:p>
    <w:p>
      <w:pPr>
        <w:pStyle w:val="Heading2"/>
      </w:pPr>
      <w:r>
        <w:t>6.2 Rançongiciel</w:t>
      </w:r>
    </w:p>
    <w:p>
      <w:r>
        <w:t>Après confinement et éradication, les serveurs sont restaurés à partir des sauvegardes les plus récentes saines. L'ordre de restauration est le suivant : contrôleurs de domaine, TMS, ERP, serveurs de fichiers.</w:t>
      </w:r>
    </w:p>
    <w:p>
      <w:pPr>
        <w:pStyle w:val="Heading1"/>
      </w:pPr>
      <w:r>
        <w:t>7. Tests</w:t>
      </w:r>
    </w:p>
    <w:p>
      <w:r>
        <w:t>Le PCA et le PRA doivent être testés au moins une fois par an. Un premier exercice de restauration complète du TMS est prévu au premier semestre 2026. Aucun exercice de gestion de crise n'a été organisé à ce jour.</w:t>
      </w:r>
    </w:p>
    <w:p>
      <w:pPr>
        <w:pStyle w:val="Heading1"/>
      </w:pPr>
      <w:r>
        <w:t>8. Maintien en condition opérationnelle</w:t>
      </w:r>
    </w:p>
    <w:p>
      <w:r>
        <w:t>Le plan est mis à jour après chaque changement important du système d'information, après chaque exercice et après chaque activation réelle. Il est revu au minimum une fois par 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