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Procédure d'arrivée, de mobilité et de départ des collaborateurs, et de revue des habilitations</w:t>
      </w:r>
    </w:p>
    <w:p>
      <w:r>
        <w:rPr>
          <w:color w:val="555555"/>
          <w:sz w:val="18"/>
        </w:rPr>
        <w:t>Référence : ARM-PRO-003  |  Version : 1.1  |  Date : 14 novembre 2024  |  Propriétaire : DRH et DSI  |  Approbation : RSSI  |  Classification : Interne</w:t>
      </w:r>
    </w:p>
    <w:p>
      <w:r>
        <w:rPr>
          <w:sz w:val="18"/>
        </w:rPr>
        <w:t>Armor Logistique SAS – document fictif à usage pédagogique</w:t>
      </w:r>
    </w:p>
    <w:p>
      <w:pPr>
        <w:pStyle w:val="Heading1"/>
      </w:pPr>
      <w:r>
        <w:t>1. Objet</w:t>
      </w:r>
    </w:p>
    <w:p>
      <w:r>
        <w:t>Cette procédure décrit les étapes à suivre lors de l'arrivée, du changement de poste et du départ d'un collaborateur, afin que ses accès au système d'information correspondent à tout moment à ses fonctions. Elle décrit également la revue périodique des habilitations.</w:t>
      </w:r>
    </w:p>
    <w:p>
      <w:pPr>
        <w:pStyle w:val="Heading1"/>
      </w:pPr>
      <w:r>
        <w:t>2. Arrivée d'un collaborateur</w:t>
      </w:r>
    </w:p>
    <w:p>
      <w:pPr>
        <w:pStyle w:val="Heading2"/>
      </w:pPr>
      <w:r>
        <w:t>2.1 Avant l'arrivée</w:t>
      </w:r>
    </w:p>
    <w:p>
      <w:r>
        <w:t>Le manager crée une demande d'arrivée dans l'outil de ticketing au moins 5 jours ouvrés avant la date d'arrivée. La demande précise le poste, le site, le profil métier et le matériel nécessaire. Les ressources humaines confirment la date d'arrivée et le type de contrat.</w:t>
      </w:r>
    </w:p>
    <w:p>
      <w:pPr>
        <w:pStyle w:val="Heading2"/>
      </w:pPr>
      <w:r>
        <w:t>2.2 Création des accès</w:t>
      </w:r>
    </w:p>
    <w:p>
      <w:r>
        <w:t>La DSI crée le compte de l'utilisateur dans l'annuaire, l'ajoute aux groupes correspondant à son profil métier, prépare son poste de travail et ses équipements. Les droits supplémentaires éventuels sont validés par le propriétaire de l'application concernée.</w:t>
      </w:r>
    </w:p>
    <w:p>
      <w:pPr>
        <w:pStyle w:val="Heading2"/>
      </w:pPr>
      <w:r>
        <w:t>2.3 Le jour de l'arrivée</w:t>
      </w:r>
    </w:p>
    <w:p>
      <w:r>
        <w:t>Le collaborateur reçoit ses identifiants et doit changer son mot de passe à la première connexion. Il signe la charte informatique, qui est conservée dans son dossier par les ressources humaines. Il suit le module de sensibilisation à la sécurité en ligne au cours de son premier mois.</w:t>
      </w:r>
    </w:p>
    <w:p>
      <w:pPr>
        <w:pStyle w:val="Heading1"/>
      </w:pPr>
      <w:r>
        <w:t>3. Intérimaires et prestataires</w:t>
      </w:r>
    </w:p>
    <w:p>
      <w:r>
        <w:t>Les comptes des intérimaires et des prestataires sont créés avec une date d'expiration correspondant à la fin de leur mission. Ils sont identifiés par le préfixe « ext » dans leur identifiant.</w:t>
      </w:r>
    </w:p>
    <w:p>
      <w:pPr>
        <w:pStyle w:val="Heading1"/>
      </w:pPr>
      <w:r>
        <w:t>4. Mobilité interne</w:t>
      </w:r>
    </w:p>
    <w:p>
      <w:r>
        <w:t>Lorsqu'un collaborateur change de poste, le nouveau manager crée une demande de mobilité. La DSI ajoute les droits correspondant au nouveau profil métier. Les droits liés à l'ancien poste sont retirés à la demande de l'ancien manager.</w:t>
      </w:r>
    </w:p>
    <w:p>
      <w:pPr>
        <w:pStyle w:val="Heading1"/>
      </w:pPr>
      <w:r>
        <w:t>5. Départ d'un collaborateur</w:t>
      </w:r>
    </w:p>
    <w:p>
      <w:pPr>
        <w:pStyle w:val="Heading2"/>
      </w:pPr>
      <w:r>
        <w:t>5.1 Information</w:t>
      </w:r>
    </w:p>
    <w:p>
      <w:r>
        <w:t>Les ressources humaines informent la DSI de chaque départ par une demande dans l'outil de ticketing, en précisant la date de fin de contrat.</w:t>
      </w:r>
    </w:p>
    <w:p>
      <w:pPr>
        <w:pStyle w:val="Heading2"/>
      </w:pPr>
      <w:r>
        <w:t>5.2 Désactivation des accès</w:t>
      </w:r>
    </w:p>
    <w:p>
      <w:r>
        <w:t>La DSI désactive le compte de l'utilisateur dans un délai de 5 jours ouvrés après son départ. La boîte aux lettres est conservée 3 mois, puis supprimée. Les accès VPN et les accès aux applications externes (WMS, géolocalisation) sont supprimés en même temps que le compte.</w:t>
      </w:r>
    </w:p>
    <w:p>
      <w:r>
        <w:t>En cas de départ conflictuel ou de licenciement pour faute, les ressources humaines demandent une désactivation immédiate, le jour même du départ.</w:t>
      </w:r>
    </w:p>
    <w:p>
      <w:pPr>
        <w:pStyle w:val="Heading2"/>
      </w:pPr>
      <w:r>
        <w:t>5.3 Restitution du matériel</w:t>
      </w:r>
    </w:p>
    <w:p>
      <w:r>
        <w:t>Le manager récupère le matériel du collaborateur (ordinateur, téléphone, badge) et le remet à la DSI, qui le réinitialise avant réattribution.</w:t>
      </w:r>
    </w:p>
    <w:p>
      <w:pPr>
        <w:pStyle w:val="Heading1"/>
      </w:pPr>
      <w:r>
        <w:t>6. Revue des habilitations</w:t>
      </w:r>
    </w:p>
    <w:p>
      <w:r>
        <w:t>Une revue des habilitations est réalisée une fois par an pour les applications TMS, ERP et paie. La DSI extrait la liste des utilisateurs et de leurs droits pour chaque application. Le propriétaire de l'application vérifie que chaque utilisateur a toujours besoin de ses droits et demande la suppression des droits inutiles.</w:t>
      </w:r>
    </w:p>
    <w:p>
      <w:r>
        <w:t>Les membres des groupes d'administration de l'annuaire sont vérifiés lors de cette même revue annuelle.</w:t>
      </w:r>
    </w:p>
    <w:p>
      <w:r>
        <w:t>La revue est tracée par l'envoi au RSSI de la liste validée par chaque propriétaire d'application. La dernière revue a été réalisée en janvier 2025.</w:t>
      </w:r>
    </w:p>
    <w:p>
      <w:pPr>
        <w:pStyle w:val="Heading1"/>
      </w:pPr>
      <w:r>
        <w:t>7. Indicateurs</w:t>
      </w:r>
    </w:p>
    <w:p>
      <w:pPr>
        <w:pStyle w:val="ListBullet"/>
      </w:pPr>
      <w:r>
        <w:t>Nombre de comptes actifs d'utilisateurs ayant quitté l'entreprise.</w:t>
      </w:r>
    </w:p>
    <w:p>
      <w:pPr>
        <w:pStyle w:val="ListBullet"/>
      </w:pPr>
      <w:r>
        <w:t>Délai moyen de désactivation après un départ.</w:t>
      </w:r>
    </w:p>
    <w:p>
      <w:pPr>
        <w:pStyle w:val="ListBullet"/>
      </w:pPr>
      <w:r>
        <w:t>Taux de réalisation de la revue annuelle des habilitations.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