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Appréciation des risques et plan de traitement des risques</w:t>
      </w:r>
    </w:p>
    <w:p>
      <w:r>
        <w:rPr>
          <w:color w:val="555555"/>
          <w:sz w:val="18"/>
        </w:rPr>
        <w:t>Référence : ARM-RSK-001  |  Version : 2025  |  Date : 28 novembre 2025  |  Propriétaire : RSSI  |  Approbation : Direction générale  |  Classification : Confidentiel</w:t>
      </w:r>
    </w:p>
    <w:p>
      <w:r>
        <w:rPr>
          <w:sz w:val="18"/>
        </w:rPr>
        <w:t>Armor Logistique SAS – document fictif à usage pédagogique</w:t>
      </w:r>
    </w:p>
    <w:p>
      <w:pPr>
        <w:pStyle w:val="Heading1"/>
      </w:pPr>
      <w:r>
        <w:t>1. Objet</w:t>
      </w:r>
    </w:p>
    <w:p>
      <w:r>
        <w:t>Ce document présente la méthode d'appréciation des risques d'Armor Logistique, les principaux risques identifiés en 2025 et le plan de traitement associé. Il répond à l'exigence de la norme ISO 27001 (chapitres 6.1.2 et 6.1.3) et à l'article 21 de la directive NIS2, qui impose une approche fondée sur les risques.</w:t>
      </w:r>
    </w:p>
    <w:p>
      <w:pPr>
        <w:pStyle w:val="Heading1"/>
      </w:pPr>
      <w:r>
        <w:t>2. Méthode</w:t>
      </w:r>
    </w:p>
    <w:p>
      <w:r>
        <w:t>L'appréciation des risques suit la méthode EBIOS Risk Manager publiée par l'ANSSI, en version simplifiée. Elle a été menée lors de quatre ateliers réunissant le RSSI, le DSI, le Directeur des opérations et le DPO.</w:t>
      </w:r>
    </w:p>
    <w:p>
      <w:pPr>
        <w:pStyle w:val="Heading2"/>
      </w:pPr>
      <w:r>
        <w:t>2.1 Échelle de gravité</w:t>
      </w:r>
    </w:p>
    <w:p>
      <w:pPr>
        <w:pStyle w:val="ListBullet"/>
      </w:pPr>
      <w:r>
        <w:t>1, mineure : gêne limitée, sans impact client.</w:t>
      </w:r>
    </w:p>
    <w:p>
      <w:pPr>
        <w:pStyle w:val="ListBullet"/>
      </w:pPr>
      <w:r>
        <w:t>2, significative : perturbation de l'activité de quelques heures.</w:t>
      </w:r>
    </w:p>
    <w:p>
      <w:pPr>
        <w:pStyle w:val="ListBullet"/>
      </w:pPr>
      <w:r>
        <w:t>3, grave : arrêt d'une activité critique de plus de 24 heures ou fuite de données confidentielles.</w:t>
      </w:r>
    </w:p>
    <w:p>
      <w:pPr>
        <w:pStyle w:val="ListBullet"/>
      </w:pPr>
      <w:r>
        <w:t>4, critique : arrêt prolongé de l'activité, pertes financières majeures, sanctions réglementaires.</w:t>
      </w:r>
    </w:p>
    <w:p>
      <w:pPr>
        <w:pStyle w:val="Heading2"/>
      </w:pPr>
      <w:r>
        <w:t>2.2 Échelle de vraisemblance</w:t>
      </w:r>
    </w:p>
    <w:p>
      <w:pPr>
        <w:pStyle w:val="ListBullet"/>
      </w:pPr>
      <w:r>
        <w:t>1, peu vraisemblable ; 2, vraisemblable ; 3, très vraisemblable ; 4, quasi certain.</w:t>
      </w:r>
    </w:p>
    <w:p>
      <w:pPr>
        <w:pStyle w:val="Heading2"/>
      </w:pPr>
      <w:r>
        <w:t>2.3 Niveau de risque et critères d'acceptation</w:t>
      </w:r>
    </w:p>
    <w:p>
      <w:r>
        <w:t>Le niveau de risque est le produit de la gravité par la vraisemblance. Un risque dont le niveau est supérieur ou égal à 9 doit être traité. Un risque de niveau inférieur peut être accepté par la direction générale.</w:t>
      </w:r>
    </w:p>
    <w:p>
      <w:pPr>
        <w:pStyle w:val="Heading1"/>
      </w:pPr>
      <w:r>
        <w:t>3. Valeurs métier et biens supports</w:t>
      </w:r>
    </w:p>
    <w:p>
      <w:r>
        <w:t>Les valeurs métier principales sont : la planification et l'exécution des tournées, la gestion des stocks en entrepôt, la facturation, la gestion du personnel. Elles reposent sur les biens supports suivants : TMS, WMS, ERP, annuaire Active Directory, messagerie, réseau et VPN, sauvegardes.</w:t>
      </w:r>
    </w:p>
    <w:p>
      <w:pPr>
        <w:pStyle w:val="Heading1"/>
      </w:pPr>
      <w:r>
        <w:t>4. Principales sources de risque</w:t>
      </w:r>
    </w:p>
    <w:p>
      <w:pPr>
        <w:pStyle w:val="ListBullet"/>
      </w:pPr>
      <w:r>
        <w:t>Groupes cybercriminels cherchant un gain financier par rançongiciel ou fraude au virement.</w:t>
      </w:r>
    </w:p>
    <w:p>
      <w:pPr>
        <w:pStyle w:val="ListBullet"/>
      </w:pPr>
      <w:r>
        <w:t>Concurrents cherchant à obtenir les tarifs et contrats clients.</w:t>
      </w:r>
    </w:p>
    <w:p>
      <w:pPr>
        <w:pStyle w:val="ListBullet"/>
      </w:pPr>
      <w:r>
        <w:t>Erreur ou malveillance interne.</w:t>
      </w:r>
    </w:p>
    <w:p>
      <w:pPr>
        <w:pStyle w:val="ListBullet"/>
      </w:pPr>
      <w:r>
        <w:t>Défaillance d'un fournisseur critique.</w:t>
      </w:r>
    </w:p>
    <w:p>
      <w:pPr>
        <w:pStyle w:val="Heading1"/>
      </w:pPr>
      <w:r>
        <w:t>5. Risques identifiés</w:t>
      </w:r>
    </w:p>
    <w:p>
      <w:pPr>
        <w:pStyle w:val="Heading2"/>
      </w:pPr>
      <w:r>
        <w:t>R1. Rançongiciel paralysant le TMS et l'ERP</w:t>
      </w:r>
    </w:p>
    <w:p>
      <w:r>
        <w:t>Scénario : un attaquant obtient un accès par hameçonnage, prend le contrôle de l'annuaire et chiffre les serveurs ainsi que les sauvegardes accessibles depuis le domaine. Gravité 4, vraisemblance 3, niveau 12.</w:t>
      </w:r>
    </w:p>
    <w:p>
      <w:pPr>
        <w:pStyle w:val="Heading2"/>
      </w:pPr>
      <w:r>
        <w:t>R2. Compromission d'un accès distant</w:t>
      </w:r>
    </w:p>
    <w:p>
      <w:r>
        <w:t>Scénario : un attaquant exploite une vulnérabilité du concentrateur VPN ou réutilise des identifiants volés. Gravité 3, vraisemblance 3, niveau 9.</w:t>
      </w:r>
    </w:p>
    <w:p>
      <w:pPr>
        <w:pStyle w:val="Heading2"/>
      </w:pPr>
      <w:r>
        <w:t>R3. Fraude au président ou au faux fournisseur</w:t>
      </w:r>
    </w:p>
    <w:p>
      <w:r>
        <w:t>Scénario : un attaquant usurpe l'identité d'un dirigeant ou d'un fournisseur pour obtenir un virement. Gravité 3, vraisemblance 3, niveau 9.</w:t>
      </w:r>
    </w:p>
    <w:p>
      <w:pPr>
        <w:pStyle w:val="Heading2"/>
      </w:pPr>
      <w:r>
        <w:t>R4. Indisponibilité prolongée du WMS SaaS</w:t>
      </w:r>
    </w:p>
    <w:p>
      <w:r>
        <w:t>Scénario : défaillance ou cyberattaque chez l'éditeur. Gravité 3, vraisemblance 2, niveau 6.</w:t>
      </w:r>
    </w:p>
    <w:p>
      <w:pPr>
        <w:pStyle w:val="Heading2"/>
      </w:pPr>
      <w:r>
        <w:t>R5. Fuite des données de géolocalisation des chauffeurs</w:t>
      </w:r>
    </w:p>
    <w:p>
      <w:r>
        <w:t>Scénario : accès non autorisé à la plateforme de géolocalisation. Gravité 3, vraisemblance 2, niveau 6.</w:t>
      </w:r>
    </w:p>
    <w:p>
      <w:pPr>
        <w:pStyle w:val="Heading2"/>
      </w:pPr>
      <w:r>
        <w:t>R6. Exploitation des serveurs obsolètes sous Windows Server 2012 R2</w:t>
      </w:r>
    </w:p>
    <w:p>
      <w:r>
        <w:t>Scénario : un attaquant exploite une vulnérabilité non corrigée pour se déplacer dans le réseau. Gravité 3, vraisemblance 3, niveau 9.</w:t>
      </w:r>
    </w:p>
    <w:p>
      <w:pPr>
        <w:pStyle w:val="Heading2"/>
      </w:pPr>
      <w:r>
        <w:t>R7. Concentration des droits du RSSI</w:t>
      </w:r>
    </w:p>
    <w:p>
      <w:r>
        <w:t>Scénario : erreur ou abus de droits non détecté, faute de séparation des tâches. Gravité 2, vraisemblance 2, niveau 4.</w:t>
      </w:r>
    </w:p>
    <w:p>
      <w:pPr>
        <w:pStyle w:val="Heading1"/>
      </w:pPr>
      <w:r>
        <w:t>6. Plan de traitement des risques</w:t>
      </w:r>
    </w:p>
    <w:p>
      <w:pPr>
        <w:pStyle w:val="ListBullet"/>
      </w:pPr>
      <w:r>
        <w:t>R1 : traiter. Mesures : sauvegardes hors ligne ou immuables, renforcement de l'authentification des administrateurs, segmentation du réseau. Responsable : DSI. Échéance : juin 2026.</w:t>
      </w:r>
    </w:p>
    <w:p>
      <w:pPr>
        <w:pStyle w:val="ListBullet"/>
      </w:pPr>
      <w:r>
        <w:t>R2 : traiter. Mesures : authentification multifacteur sur le VPN, application rapide des correctifs du concentrateur. Responsable : DSI. Échéance : mars 2026.</w:t>
      </w:r>
    </w:p>
    <w:p>
      <w:pPr>
        <w:pStyle w:val="ListBullet"/>
      </w:pPr>
      <w:r>
        <w:t>R3 : traiter. Mesures : procédure de double validation des virements et des changements de coordonnées bancaires, sensibilisation des équipes financières. Responsable : DAF. Échéance : mars 2026.</w:t>
      </w:r>
    </w:p>
    <w:p>
      <w:pPr>
        <w:pStyle w:val="ListBullet"/>
      </w:pPr>
      <w:r>
        <w:t>R4 : accepter, sous réserve de la procédure de mode dégradé du PCA.</w:t>
      </w:r>
    </w:p>
    <w:p>
      <w:pPr>
        <w:pStyle w:val="ListBullet"/>
      </w:pPr>
      <w:r>
        <w:t>R5 : accepter.</w:t>
      </w:r>
    </w:p>
    <w:p>
      <w:pPr>
        <w:pStyle w:val="ListBullet"/>
      </w:pPr>
      <w:r>
        <w:t>R6 : traiter. Mesures : migration des applications de reporting et retrait des serveurs. Responsable : DSI. Échéance : décembre 2026.</w:t>
      </w:r>
    </w:p>
    <w:p>
      <w:pPr>
        <w:pStyle w:val="ListBullet"/>
      </w:pPr>
      <w:r>
        <w:t>R7 : accepter.</w:t>
      </w:r>
    </w:p>
    <w:p>
      <w:pPr>
        <w:pStyle w:val="Heading1"/>
      </w:pPr>
      <w:r>
        <w:t>7. Risques résiduels et acceptation</w:t>
      </w:r>
    </w:p>
    <w:p>
      <w:r>
        <w:t>Après mise en œuvre du plan de traitement, les risques résiduels R1, R2, R3 et R6 doivent être réévalués. Les risques R4, R5 et R7 sont acceptés en l'état.</w:t>
      </w:r>
    </w:p>
    <w:p>
      <w:r>
        <w:t>L'acceptation formelle des risques résiduels par la direction générale sera réalisée lors de la prochaine revue de direction.</w:t>
      </w:r>
    </w:p>
    <w:p>
      <w:pPr>
        <w:pStyle w:val="Heading1"/>
      </w:pPr>
      <w:r>
        <w:t>8. Mise à jour</w:t>
      </w:r>
    </w:p>
    <w:p>
      <w:r>
        <w:t>L'appréciation des risques est mise à jour chaque année et après tout changement significatif ou incident majeur.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