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de la revue de direction du SMSI – 2025</w:t>
      </w:r>
    </w:p>
    <w:p>
      <w:r>
        <w:rPr>
          <w:color w:val="555555"/>
          <w:sz w:val="18"/>
        </w:rPr>
        <w:t>Référence : ARM-REC-001  |  Date de la réunion : 15 janvier 2026  |  Rédaction : RSSI  |  Diffusion : membres du comité de sécurité  |  Classification : Confidentiel</w:t>
      </w:r>
    </w:p>
    <w:p>
      <w:r>
        <w:rPr>
          <w:sz w:val="18"/>
        </w:rPr>
        <w:t>Armor Logistique SAS – document fictif à usage pédagogique</w:t>
      </w:r>
    </w:p>
    <w:p>
      <w:pPr>
        <w:pStyle w:val="Heading1"/>
      </w:pPr>
      <w:r>
        <w:t>1. Participants</w:t>
      </w:r>
    </w:p>
    <w:p>
      <w:r>
        <w:t>Marc Le Goff, Directeur général (président) ; Thomas Kerjean, DSI ; Claire Moreau, RSSI ; Sophie Lambert, DPO ; Yann Le Bihan, Directeur des opérations ; Pierre Ollivier, Directeur administratif et financier.</w:t>
      </w:r>
    </w:p>
    <w:p>
      <w:pPr>
        <w:pStyle w:val="Heading1"/>
      </w:pPr>
      <w:r>
        <w:t>2. Objet</w:t>
      </w:r>
    </w:p>
    <w:p>
      <w:r>
        <w:t>La revue de direction, exigée par le chapitre 9.3 de la norme ISO 27001, permet à la direction d'évaluer chaque année si le système de management de la sécurité de l'information reste pertinent, adéquat et efficace, et de décider des améliorations nécessaires.</w:t>
      </w:r>
    </w:p>
    <w:p>
      <w:pPr>
        <w:pStyle w:val="Heading1"/>
      </w:pPr>
      <w:r>
        <w:t>3. Suivi des décisions de la revue précédente</w:t>
      </w:r>
    </w:p>
    <w:p>
      <w:pPr>
        <w:pStyle w:val="ListBullet"/>
      </w:pPr>
      <w:r>
        <w:t>Rédaction des politiques de gestion des vulnérabilités et de journalisation : réalisée en juin 2025.</w:t>
      </w:r>
    </w:p>
    <w:p>
      <w:pPr>
        <w:pStyle w:val="ListBullet"/>
      </w:pPr>
      <w:r>
        <w:t>Mise en place du SIEM Wazuh : réalisée en mai 2025.</w:t>
      </w:r>
    </w:p>
    <w:p>
      <w:pPr>
        <w:pStyle w:val="ListBullet"/>
      </w:pPr>
      <w:r>
        <w:t>Rédaction de la politique de sécurité des fournisseurs : réalisée en septembre 2025.</w:t>
      </w:r>
    </w:p>
    <w:p>
      <w:pPr>
        <w:pStyle w:val="ListBullet"/>
      </w:pPr>
      <w:r>
        <w:t>Mise en place de l'authentification multifacteur sur le VPN : non réalisée, reportée à mars 2026.</w:t>
      </w:r>
    </w:p>
    <w:p>
      <w:pPr>
        <w:pStyle w:val="ListBullet"/>
      </w:pPr>
      <w:r>
        <w:t>Exercice de test du PRA : non réalisé, reporté au premier semestre 2026.</w:t>
      </w:r>
    </w:p>
    <w:p>
      <w:pPr>
        <w:pStyle w:val="Heading1"/>
      </w:pPr>
      <w:r>
        <w:t>4. Évolution du contexte</w:t>
      </w:r>
    </w:p>
    <w:p>
      <w:pPr>
        <w:pStyle w:val="ListBullet"/>
      </w:pPr>
      <w:r>
        <w:t>Transposition de la directive NIS2 en droit français : Armor Logistique est concernée en tant qu'entité importante du secteur des transports. L'entreprise doit s'enregistrer auprès de l'ANSSI et se conformer aux mesures de l'article 21.</w:t>
      </w:r>
    </w:p>
    <w:p>
      <w:pPr>
        <w:pStyle w:val="ListBullet"/>
      </w:pPr>
      <w:r>
        <w:t>Hausse des attaques par rançongiciel visant le secteur du transport et de la logistique, signalée par le CERT-FR.</w:t>
      </w:r>
    </w:p>
    <w:p>
      <w:pPr>
        <w:pStyle w:val="ListBullet"/>
      </w:pPr>
      <w:r>
        <w:t>Deux nouveaux clients de la grande distribution imposent dans leurs contrats un questionnaire de sécurité annuel et la notification des incidents sous 24 heures.</w:t>
      </w:r>
    </w:p>
    <w:p>
      <w:pPr>
        <w:pStyle w:val="Heading1"/>
      </w:pPr>
      <w:r>
        <w:t>5. Performance de la sécurité</w:t>
      </w:r>
    </w:p>
    <w:p>
      <w:pPr>
        <w:pStyle w:val="Heading2"/>
      </w:pPr>
      <w:r>
        <w:t>5.1 Indicateurs</w:t>
      </w:r>
    </w:p>
    <w:p>
      <w:pPr>
        <w:pStyle w:val="ListBullet"/>
      </w:pPr>
      <w:r>
        <w:t>Disponibilité du TMS sur les heures d'exploitation : 99,2 %, pour un objectif de 99,5 %.</w:t>
      </w:r>
    </w:p>
    <w:p>
      <w:pPr>
        <w:pStyle w:val="ListBullet"/>
      </w:pPr>
      <w:r>
        <w:t>Taux de postes à jour des correctifs Windows : 94 %.</w:t>
      </w:r>
    </w:p>
    <w:p>
      <w:pPr>
        <w:pStyle w:val="ListBullet"/>
      </w:pPr>
      <w:r>
        <w:t>Taux de serveurs à jour des correctifs : 78 %.</w:t>
      </w:r>
    </w:p>
    <w:p>
      <w:pPr>
        <w:pStyle w:val="ListBullet"/>
      </w:pPr>
      <w:r>
        <w:t>Taux de collaborateurs ayant suivi la sensibilisation annuelle : 61 %, pour un objectif de 100 %.</w:t>
      </w:r>
    </w:p>
    <w:p>
      <w:pPr>
        <w:pStyle w:val="ListBullet"/>
      </w:pPr>
      <w:r>
        <w:t>Nombre de comptes actifs d'anciens collaborateurs détectés lors de la revue : 23.</w:t>
      </w:r>
    </w:p>
    <w:p>
      <w:pPr>
        <w:pStyle w:val="Heading2"/>
      </w:pPr>
      <w:r>
        <w:t>5.2 Incidents</w:t>
      </w:r>
    </w:p>
    <w:p>
      <w:r>
        <w:t>Onze incidents de sécurité ont été enregistrés en 2025, dont un de gravité élevée : la compromission d'une boîte aux lettres d'un commercial par hameçonnage en septembre 2025. Le compte a été utilisé pour envoyer des messages frauduleux à des clients pendant deux jours avant sa détection. Le retour d'expérience a mis en évidence l'absence d'authentification multifacteur sur la messagerie.</w:t>
      </w:r>
    </w:p>
    <w:p>
      <w:pPr>
        <w:pStyle w:val="Heading2"/>
      </w:pPr>
      <w:r>
        <w:t>5.3 Audits</w:t>
      </w:r>
    </w:p>
    <w:p>
      <w:r>
        <w:t>Aucun audit interne du SMSI n'a été réalisé en 2025. Un test d'intrusion externe a été réalisé en avril 2025 par un prestataire. Il a identifié 3 vulnérabilités élevées, dont 2 sont corrigées.</w:t>
      </w:r>
    </w:p>
    <w:p>
      <w:pPr>
        <w:pStyle w:val="Heading1"/>
      </w:pPr>
      <w:r>
        <w:t>6. Risques</w:t>
      </w:r>
    </w:p>
    <w:p>
      <w:r>
        <w:t>L'appréciation des risques a été mise à jour en novembre 2025. Les risques résiduels R4, R5 et R7 sont présentés pour acceptation. La direction générale accepte les risques R4 et R7. Le risque R5, concernant les données de géolocalisation, est renvoyé au DPO pour avis.</w:t>
      </w:r>
    </w:p>
    <w:p>
      <w:pPr>
        <w:pStyle w:val="Heading1"/>
      </w:pPr>
      <w:r>
        <w:t>7. Ressources</w:t>
      </w:r>
    </w:p>
    <w:p>
      <w:r>
        <w:t>Le RSSI signale que son temps consacré à la sécurité, 60 %, n'est pas suffisant au regard des obligations NIS2. Une demande de recrutement d'un ingénieur sécurité est présentée.</w:t>
      </w:r>
    </w:p>
    <w:p>
      <w:pPr>
        <w:pStyle w:val="Heading1"/>
      </w:pPr>
      <w:r>
        <w:t>8. Décisions</w:t>
      </w:r>
    </w:p>
    <w:p>
      <w:pPr>
        <w:pStyle w:val="ListBullet"/>
      </w:pPr>
      <w:r>
        <w:t>Déployer l'authentification multifacteur sur la messagerie Microsoft 365 et le VPN avant fin mars 2026. Responsable : DSI.</w:t>
      </w:r>
    </w:p>
    <w:p>
      <w:pPr>
        <w:pStyle w:val="ListBullet"/>
      </w:pPr>
      <w:r>
        <w:t>Réaliser l'exercice de restauration du TMS avant fin juin 2026. Responsable : DSI.</w:t>
      </w:r>
    </w:p>
    <w:p>
      <w:pPr>
        <w:pStyle w:val="ListBullet"/>
      </w:pPr>
      <w:r>
        <w:t>Programmer un audit interne du SMSI en 2026. Responsable : RSSI.</w:t>
      </w:r>
    </w:p>
    <w:p>
      <w:pPr>
        <w:pStyle w:val="ListBullet"/>
      </w:pPr>
      <w:r>
        <w:t>Relancer la campagne de sensibilisation pour atteindre 100 % des collaborateurs. Responsable : DRH et RSSI.</w:t>
      </w:r>
    </w:p>
    <w:p>
      <w:pPr>
        <w:pStyle w:val="ListBullet"/>
      </w:pPr>
      <w:r>
        <w:t>Étudier le recrutement d'un ingénieur sécurité lors de l'élaboration du budget 2027. Responsable : Directeur général.</w:t>
      </w:r>
    </w:p>
    <w:p>
      <w:pPr>
        <w:pStyle w:val="Heading1"/>
      </w:pPr>
      <w:r>
        <w:t>9. Points non traités</w:t>
      </w:r>
    </w:p>
    <w:p>
      <w:r>
        <w:t>La formation des membres de la direction à la gestion des risques cyber, exigée par l'article 20 de la directive NIS2, n'a pas été abordée et sera inscrite à l'ordre du jour de la prochaine revue.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