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AI/ML Algorithms, Dimensionality and Metrics</w:t>
      </w:r>
    </w:p>
    <w:p>
      <w:r>
        <w:rPr>
          <w:rFonts w:ascii="Times New Roman" w:hAnsi="Times New Roman"/>
          <w:b w:val="0"/>
          <w:sz w:val="24"/>
        </w:rPr>
        <w:t>ML method: pretrained transformer encoder all-MiniLM-L6-v2 produces semantic vectors for both retrieved chunks and questions. Retrieval: ChromaDB vector similarity ranks candidate evidence. Generative model: Gemini synthesizes a grounded-language answer; MockLLM substitutes deterministic text in tests. Domain logic: structured AUTOSAR extraction and citation ID verification are deterministic rule-based components.</w:t>
      </w:r>
    </w:p>
    <w:p>
      <w:r>
        <w:rPr>
          <w:rFonts w:ascii="Times New Roman" w:hAnsi="Times New Roman"/>
          <w:b w:val="0"/>
          <w:sz w:val="24"/>
        </w:rPr>
        <w:t>Dimensionality reduction: no separately fitted PCA, t-SNE or UMAP. Learning an embedding is not equivalent to applying PCA.</w:t>
      </w:r>
    </w:p>
    <w:p>
      <w:r>
        <w:rPr>
          <w:rFonts w:ascii="Times New Roman" w:hAnsi="Times New Roman"/>
          <w:b w:val="0"/>
          <w:sz w:val="24"/>
        </w:rPr>
        <w:t>Threshold: normal default top_k=5, relevance threshold None. Top-k controls result count; a cutoff filters weak matches. Similarity scores are not probabilities of truth. Evaluator has a 0.3 default argument under a distinct evaluation path; do not confuse this with application default.</w:t>
      </w:r>
    </w:p>
    <w:p>
      <w:r>
        <w:rPr>
          <w:rFonts w:ascii="Times New Roman" w:hAnsi="Times New Roman"/>
          <w:b w:val="0"/>
          <w:sz w:val="24"/>
        </w:rPr>
        <w:t>Evaluation available in source: retrieval success, citation ID validity, implementation-defined groundedness rate, negative-grounding accuracy and expected-keyword overlap. They are limited: a correctly cited generic answer can be useless or unsupported. Manual comparisons with the actual PDF are essential.</w:t>
      </w:r>
    </w:p>
    <w:p>
      <w:r>
        <w:rPr>
          <w:rFonts w:ascii="Times New Roman" w:hAnsi="Times New Roman"/>
          <w:b w:val="0"/>
          <w:sz w:val="24"/>
        </w:rPr>
        <w:t>Why AI matters: semantic retrieval beyond exact keywords and engineering-text generation based on local documentary evidence; source provenance and testing are software engineering contributions. No newly trained model claimed.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