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sz w:val="24"/>
        </w:rPr>
        <w:t>Responsible AI, Privacy, Security, Human Oversight</w:t>
      </w:r>
    </w:p>
    <w:p>
      <w:r>
        <w:rPr>
          <w:rFonts w:ascii="Times New Roman" w:hAnsi="Times New Roman"/>
          <w:b w:val="0"/>
          <w:sz w:val="24"/>
        </w:rPr>
        <w:t>• Grounding: prompt confines generation to supplied retrieved text and mandates exact chunk IDs.</w:t>
      </w:r>
    </w:p>
    <w:p>
      <w:r>
        <w:rPr>
          <w:rFonts w:ascii="Times New Roman" w:hAnsi="Times New Roman"/>
          <w:b w:val="0"/>
          <w:sz w:val="24"/>
        </w:rPr>
        <w:t>• Abstention: explicit insufficient-evidence phrase for information absent from evidence; validate real behavior before claiming reliable refusal.</w:t>
      </w:r>
    </w:p>
    <w:p>
      <w:r>
        <w:rPr>
          <w:rFonts w:ascii="Times New Roman" w:hAnsi="Times New Roman"/>
          <w:b w:val="0"/>
          <w:sz w:val="24"/>
        </w:rPr>
        <w:t>• Traceability: source document, page, section, chunk ID and evidence snippet are shown to users.</w:t>
      </w:r>
    </w:p>
    <w:p>
      <w:r>
        <w:rPr>
          <w:rFonts w:ascii="Times New Roman" w:hAnsi="Times New Roman"/>
          <w:b w:val="0"/>
          <w:sz w:val="24"/>
        </w:rPr>
        <w:t>• Verifier limitations: syntactic citation-ID validity does not prove every generated claim is supported or logically implied by the source.</w:t>
      </w:r>
    </w:p>
    <w:p>
      <w:r>
        <w:rPr>
          <w:rFonts w:ascii="Times New Roman" w:hAnsi="Times New Roman"/>
          <w:b w:val="0"/>
          <w:sz w:val="24"/>
        </w:rPr>
        <w:t>• Prompt injection: source text is lower-trust and delimiters are sanitized, but this is not a complete defense.</w:t>
      </w:r>
    </w:p>
    <w:p>
      <w:r>
        <w:rPr>
          <w:rFonts w:ascii="Times New Roman" w:hAnsi="Times New Roman"/>
          <w:b w:val="0"/>
          <w:sz w:val="24"/>
        </w:rPr>
        <w:t>• Data privacy: only use authorized HLDs; a remote Gemini call may send extracted proprietary content to an external provider. Do not commit private OEM data or .env.</w:t>
      </w:r>
    </w:p>
    <w:p>
      <w:r>
        <w:rPr>
          <w:rFonts w:ascii="Times New Roman" w:hAnsi="Times New Roman"/>
          <w:b w:val="0"/>
          <w:sz w:val="24"/>
        </w:rPr>
        <w:t>• Key handling: store credentials in private environment files or secret vaults; avoid logs and screenshots with keys.</w:t>
      </w:r>
    </w:p>
    <w:p>
      <w:r>
        <w:rPr>
          <w:rFonts w:ascii="Times New Roman" w:hAnsi="Times New Roman"/>
          <w:b w:val="0"/>
          <w:sz w:val="24"/>
        </w:rPr>
        <w:t>• Human review: an automotive engineer must verify architecture/safety claims; no ASIL compliance or production safety assurance is certified.</w:t>
      </w:r>
    </w:p>
    <w:p>
      <w:r>
        <w:rPr>
          <w:rFonts w:ascii="Times New Roman" w:hAnsi="Times New Roman"/>
          <w:b w:val="0"/>
          <w:sz w:val="24"/>
        </w:rPr>
        <w:t>• Reporting integrity: distinguish test expectations, MockLLM outputs and verified real Gemini results. Disclose failures; never fabricate metrics.</w:t>
      </w:r>
    </w:p>
    <w:p>
      <w:r>
        <w:rPr>
          <w:rFonts w:ascii="Times New Roman" w:hAnsi="Times New Roman"/>
          <w:b w:val="0"/>
          <w:sz w:val="24"/>
        </w:rPr>
        <w:t>Potential future controls include tenant isolation, access permissions, retention policies and claim-level evidence verification.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