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Installation and Demonstration — Windows PowerShell</w:t>
      </w:r>
    </w:p>
    <w:p>
      <w:r>
        <w:rPr>
          <w:rFonts w:ascii="Times New Roman" w:hAnsi="Times New Roman"/>
          <w:b w:val="0"/>
          <w:sz w:val="24"/>
        </w:rPr>
        <w:t>From repository root:</w:t>
      </w:r>
    </w:p>
    <w:p>
      <w:r>
        <w:rPr>
          <w:rFonts w:ascii="Times New Roman" w:hAnsi="Times New Roman"/>
          <w:b w:val="0"/>
          <w:sz w:val="24"/>
        </w:rPr>
        <w:t>python -m venv .venv</w:t>
      </w:r>
    </w:p>
    <w:p>
      <w:r>
        <w:rPr>
          <w:rFonts w:ascii="Times New Roman" w:hAnsi="Times New Roman"/>
          <w:b w:val="0"/>
          <w:sz w:val="24"/>
        </w:rPr>
        <w:t>.\.venv\Scripts\Activate.ps1</w:t>
      </w:r>
    </w:p>
    <w:p>
      <w:r>
        <w:rPr>
          <w:rFonts w:ascii="Times New Roman" w:hAnsi="Times New Roman"/>
          <w:b w:val="0"/>
          <w:sz w:val="24"/>
        </w:rPr>
        <w:t>python -m pip install -r requirements.txt</w:t>
      </w:r>
    </w:p>
    <w:p>
      <w:r>
        <w:rPr>
          <w:rFonts w:ascii="Times New Roman" w:hAnsi="Times New Roman"/>
          <w:b w:val="0"/>
          <w:sz w:val="24"/>
        </w:rPr>
        <w:t>Copy-Item .env.example .env</w:t>
      </w:r>
    </w:p>
    <w:p>
      <w:r>
        <w:rPr>
          <w:rFonts w:ascii="Times New Roman" w:hAnsi="Times New Roman"/>
          <w:b/>
          <w:sz w:val="24"/>
        </w:rPr>
        <w:t>Edit .env locally. Start with DEFAULT_LLM_PROVIDER=mock.</w:t>
      </w:r>
    </w:p>
    <w:p>
      <w:r>
        <w:rPr>
          <w:rFonts w:ascii="Times New Roman" w:hAnsi="Times New Roman"/>
          <w:b w:val="0"/>
          <w:sz w:val="24"/>
        </w:rPr>
        <w:t>python -m pytest -q</w:t>
      </w:r>
    </w:p>
    <w:p>
      <w:r>
        <w:rPr>
          <w:rFonts w:ascii="Times New Roman" w:hAnsi="Times New Roman"/>
          <w:b w:val="0"/>
          <w:sz w:val="24"/>
        </w:rPr>
        <w:t>Terminal 1 — API:</w:t>
      </w:r>
    </w:p>
    <w:p>
      <w:r>
        <w:rPr>
          <w:rFonts w:ascii="Times New Roman" w:hAnsi="Times New Roman"/>
          <w:b w:val="0"/>
          <w:sz w:val="24"/>
        </w:rPr>
        <w:t>python -m uvicorn backend.main:app --reload</w:t>
      </w:r>
    </w:p>
    <w:p>
      <w:r>
        <w:rPr>
          <w:rFonts w:ascii="Times New Roman" w:hAnsi="Times New Roman"/>
          <w:b w:val="0"/>
          <w:sz w:val="24"/>
        </w:rPr>
        <w:t>Open http://127.0.0.1:8000/health and http://127.0.0.1:8000/docs.</w:t>
      </w:r>
    </w:p>
    <w:p>
      <w:r>
        <w:rPr>
          <w:rFonts w:ascii="Times New Roman" w:hAnsi="Times New Roman"/>
          <w:b w:val="0"/>
          <w:sz w:val="24"/>
        </w:rPr>
        <w:t>Terminal 2 — UI:</w:t>
      </w:r>
    </w:p>
    <w:p>
      <w:r>
        <w:rPr>
          <w:rFonts w:ascii="Times New Roman" w:hAnsi="Times New Roman"/>
          <w:b w:val="0"/>
          <w:sz w:val="24"/>
        </w:rPr>
        <w:t>.\.venv\Scripts\Activate.ps1</w:t>
      </w:r>
    </w:p>
    <w:p>
      <w:r>
        <w:rPr>
          <w:rFonts w:ascii="Times New Roman" w:hAnsi="Times New Roman"/>
          <w:b w:val="0"/>
          <w:sz w:val="24"/>
        </w:rPr>
        <w:t>python -m streamlit run frontend/app.py</w:t>
      </w:r>
    </w:p>
    <w:p>
      <w:r>
        <w:rPr>
          <w:rFonts w:ascii="Times New Roman" w:hAnsi="Times New Roman"/>
          <w:b w:val="0"/>
          <w:sz w:val="24"/>
        </w:rPr>
        <w:t>Open http://localhost:8501. Upload data/samples/AUTOSAR_HLD_Sample_BrakingSystem.pdf; inspect metrics, SWC/Port/Interface tables; ask a document-answerable question, open verified citations; ask an absent-fact question and inspect whether it refuses.</w:t>
      </w:r>
    </w:p>
    <w:p>
      <w:r>
        <w:rPr>
          <w:rFonts w:ascii="Times New Roman" w:hAnsi="Times New Roman"/>
          <w:b w:val="0"/>
          <w:sz w:val="24"/>
        </w:rPr>
        <w:t>Real Gemini: store GEMINI_API_KEY privately in .env; select DEFAULT_LLM_PROVIDER=gemini and an available model; restart both services. Capture the provider label, factual answer and source evidence without leaking secrets.</w:t>
      </w:r>
    </w:p>
    <w:p>
      <w:r>
        <w:rPr>
          <w:rFonts w:ascii="Times New Roman" w:hAnsi="Times New Roman"/>
          <w:b w:val="0"/>
          <w:sz w:val="24"/>
        </w:rPr>
        <w:t>MockLLM is an integration test double, not a measure of natural answer quality. Real LLM results and negative grounding require human inspection.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