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Viva and Interview Questions</w:t>
      </w:r>
    </w:p>
    <w:p>
      <w:r>
        <w:rPr>
          <w:rFonts w:ascii="Times New Roman" w:hAnsi="Times New Roman"/>
          <w:b w:val="0"/>
          <w:sz w:val="24"/>
        </w:rPr>
        <w:t>What is the project? A document-grounded AUTOSAR HLD assistant for engineering Q&amp;A and structured SWC/Port/Interface exploration.</w:t>
      </w:r>
    </w:p>
    <w:p>
      <w:r>
        <w:rPr>
          <w:rFonts w:ascii="Times New Roman" w:hAnsi="Times New Roman"/>
          <w:b w:val="0"/>
          <w:sz w:val="24"/>
        </w:rPr>
        <w:t>Why RAG? Index changing PDFs and retrieve source evidence without retraining model weights; expose source citations.</w:t>
      </w:r>
    </w:p>
    <w:p>
      <w:r>
        <w:rPr>
          <w:rFonts w:ascii="Times New Roman" w:hAnsi="Times New Roman"/>
          <w:b w:val="0"/>
          <w:sz w:val="24"/>
        </w:rPr>
        <w:t>Which AI algorithms? Pretrained transformer embeddings (all-MiniLM-L6-v2), vector similarity retrieval, and a Gemini generative model.</w:t>
      </w:r>
    </w:p>
    <w:p>
      <w:r>
        <w:rPr>
          <w:rFonts w:ascii="Times New Roman" w:hAnsi="Times New Roman"/>
          <w:b w:val="0"/>
          <w:sz w:val="24"/>
        </w:rPr>
        <w:t>Did you train a model or apply PCA? No. The project uses pretrained models; no PCA/t-SNE/UMAP stage is implemented.</w:t>
      </w:r>
    </w:p>
    <w:p>
      <w:r>
        <w:rPr>
          <w:rFonts w:ascii="Times New Roman" w:hAnsi="Times New Roman"/>
          <w:b w:val="0"/>
          <w:sz w:val="24"/>
        </w:rPr>
        <w:t>What are preprocessing steps? PyMuPDF block/page extraction, header/footer and hyphen cleaning, whitespace normalization, hierarchical chunking.</w:t>
      </w:r>
    </w:p>
    <w:p>
      <w:r>
        <w:rPr>
          <w:rFonts w:ascii="Times New Roman" w:hAnsi="Times New Roman"/>
          <w:b w:val="0"/>
          <w:sz w:val="24"/>
        </w:rPr>
        <w:t>What is top-k? Number of candidate nearest chunks (5 by default).</w:t>
      </w:r>
    </w:p>
    <w:p>
      <w:r>
        <w:rPr>
          <w:rFonts w:ascii="Times New Roman" w:hAnsi="Times New Roman"/>
          <w:b w:val="0"/>
          <w:sz w:val="24"/>
        </w:rPr>
        <w:t>What is the relevance threshold? Minimum retrieval similarity if enabled. Application default is None, so not always applied.</w:t>
      </w:r>
    </w:p>
    <w:p>
      <w:r>
        <w:rPr>
          <w:rFonts w:ascii="Times New Roman" w:hAnsi="Times New Roman"/>
          <w:b w:val="0"/>
          <w:sz w:val="24"/>
        </w:rPr>
        <w:t>Why two databases? ChromaDB for semantic chunks/embeddings; SQLite for structured SWCs/Ports/Interfaces.</w:t>
      </w:r>
    </w:p>
    <w:p>
      <w:r>
        <w:rPr>
          <w:rFonts w:ascii="Times New Roman" w:hAnsi="Times New Roman"/>
          <w:b w:val="0"/>
          <w:sz w:val="24"/>
        </w:rPr>
        <w:t>What exactly does Gemini do? Converts relevant retrieved HLD text into a readable answer; it is not the PDF retriever.</w:t>
      </w:r>
    </w:p>
    <w:p>
      <w:r>
        <w:rPr>
          <w:rFonts w:ascii="Times New Roman" w:hAnsi="Times New Roman"/>
          <w:b w:val="0"/>
          <w:sz w:val="24"/>
        </w:rPr>
        <w:t>What does citation verification prove? Only that cited IDs point to retrieved source; a separate human check is needed for actual claim support.</w:t>
      </w:r>
    </w:p>
    <w:p>
      <w:r>
        <w:rPr>
          <w:rFonts w:ascii="Times New Roman" w:hAnsi="Times New Roman"/>
          <w:b w:val="0"/>
          <w:sz w:val="24"/>
        </w:rPr>
        <w:t>What is an extra feature over simple PDF chatbot? Domain-aware entity extraction and architecture explorer, source provenance, deterministic citations and offline MockLLM testing.</w:t>
      </w:r>
    </w:p>
    <w:p>
      <w:r>
        <w:rPr>
          <w:rFonts w:ascii="Times New Roman" w:hAnsi="Times New Roman"/>
          <w:b w:val="0"/>
          <w:sz w:val="24"/>
        </w:rPr>
        <w:t>How do you evaluate? Tests, golden questions, retrieval/citation-ID metrics, human factual support, refusal correctness and latency.</w:t>
      </w:r>
    </w:p>
    <w:p>
      <w:r>
        <w:rPr>
          <w:rFonts w:ascii="Times New Roman" w:hAnsi="Times New Roman"/>
          <w:b w:val="0"/>
          <w:sz w:val="24"/>
        </w:rPr>
        <w:t>What failed during testing? A generic MockLLM answer with a valid citation was observed even for a missing-MCU question; it is a limitation, not a successful negative-grounding demonstration.</w:t>
      </w:r>
    </w:p>
    <w:p>
      <w:r>
        <w:rPr>
          <w:rFonts w:ascii="Times New Roman" w:hAnsi="Times New Roman"/>
          <w:b w:val="0"/>
          <w:sz w:val="24"/>
        </w:rPr>
        <w:t>What next? Hybrid lexical+vector search for AUTOSAR identifiers, ARXML support, graph relations and stronger factual-entailment checks.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