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Reproducible Evaluation Protocol</w:t>
      </w:r>
    </w:p>
    <w:p>
      <w:r>
        <w:rPr>
          <w:rFonts w:ascii="Times New Roman" w:hAnsi="Times New Roman"/>
          <w:b w:val="0"/>
          <w:sz w:val="24"/>
        </w:rPr>
        <w:t>1. Record date, tested Git commit SHA, Python version, provider/model, retrieval top_k and threshold.</w:t>
      </w:r>
    </w:p>
    <w:p>
      <w:r>
        <w:rPr>
          <w:rFonts w:ascii="Times New Roman" w:hAnsi="Times New Roman"/>
          <w:b w:val="0"/>
          <w:sz w:val="24"/>
        </w:rPr>
        <w:t>2. Run python -m pytest -q at repo root; store dated output and failures.</w:t>
      </w:r>
    </w:p>
    <w:p>
      <w:r>
        <w:rPr>
          <w:rFonts w:ascii="Times New Roman" w:hAnsi="Times New Roman"/>
          <w:b w:val="0"/>
          <w:sz w:val="24"/>
        </w:rPr>
        <w:t>3. Ingest braking-system test PDF (../data/samples/AUTOSAR_HLD_Sample_BrakingSystem.pdf).</w:t>
      </w:r>
    </w:p>
    <w:p>
      <w:r>
        <w:rPr>
          <w:rFonts w:ascii="Times New Roman" w:hAnsi="Times New Roman"/>
          <w:b w:val="0"/>
          <w:sz w:val="24"/>
        </w:rPr>
        <w:t>4. Evaluate golden dataset (../data/golden_dataset.json) through PipelineEvaluator in core/evaluation/evaluator.py (../core/evaluation/evaluator.py), if the current environment supports it.</w:t>
      </w:r>
    </w:p>
    <w:p>
      <w:r>
        <w:rPr>
          <w:rFonts w:ascii="Times New Roman" w:hAnsi="Times New Roman"/>
          <w:b w:val="0"/>
          <w:sz w:val="24"/>
        </w:rPr>
        <w:t>5. Record retrieved chunk IDs and expected page match for answerable items.</w:t>
      </w:r>
    </w:p>
    <w:p>
      <w:r>
        <w:rPr>
          <w:rFonts w:ascii="Times New Roman" w:hAnsi="Times New Roman"/>
          <w:b w:val="0"/>
          <w:sz w:val="24"/>
        </w:rPr>
        <w:t>6. Inspect whether each generated claim is actually entailed by cited text; valid IDs alone are insufficient.</w:t>
      </w:r>
    </w:p>
    <w:p>
      <w:r>
        <w:rPr>
          <w:rFonts w:ascii="Times New Roman" w:hAnsi="Times New Roman"/>
          <w:b w:val="0"/>
          <w:sz w:val="24"/>
        </w:rPr>
        <w:t>7. For unanswerable questions, demand explicit insufficient-evidence language, without invented specifications.</w:t>
      </w:r>
    </w:p>
    <w:p>
      <w:r>
        <w:rPr>
          <w:rFonts w:ascii="Times New Roman" w:hAnsi="Times New Roman"/>
          <w:b w:val="0"/>
          <w:sz w:val="24"/>
        </w:rPr>
        <w:t>8. Distinguish MockLLM vs Gemini evaluations; measure latency, refusal correctness, retrieval success, invalid citations and human-reviewed answer quality.</w:t>
      </w:r>
    </w:p>
    <w:p>
      <w:r>
        <w:rPr>
          <w:rFonts w:ascii="Times New Roman" w:hAnsi="Times New Roman"/>
          <w:b w:val="0"/>
          <w:sz w:val="24"/>
        </w:rPr>
        <w:t>9. Save screenshots/logs only after redacting any API key or sensitive PDF text.</w:t>
      </w:r>
    </w:p>
    <w:p>
      <w:r>
        <w:rPr>
          <w:rFonts w:ascii="Times New Roman" w:hAnsi="Times New Roman"/>
          <w:b w:val="0"/>
          <w:sz w:val="24"/>
        </w:rPr>
        <w:t>Implemented automated evaluator scores: retrieval success rate, groundedness flag rate, citation ID validity rate, negative-grounding accuracy and expected-keyword overlap. None alone is an automotive-compliance or calibrated factual-accuracy measure. A previous historic statement was “70 passed, 1 skipped”; rerun locally before claiming current performance.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