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Models, prompts and configuration</w:t>
      </w:r>
    </w:p>
    <w:p>
      <w:r>
        <w:rPr>
          <w:rFonts w:ascii="Times New Roman" w:hAnsi="Times New Roman"/>
          <w:b w:val="0"/>
          <w:sz w:val="24"/>
        </w:rPr>
        <w:t>• Model / AI-method inventory (MODELS_AND_AI_METHODS.md)</w:t>
      </w:r>
    </w:p>
    <w:p>
      <w:r>
        <w:rPr>
          <w:rFonts w:ascii="Times New Roman" w:hAnsi="Times New Roman"/>
          <w:b w:val="0"/>
          <w:sz w:val="24"/>
        </w:rPr>
        <w:t>• Real parameter values and threshold behavior (CONFIGURATION_AND_RETRIEVAL_PARAMETERS.md)</w:t>
      </w:r>
    </w:p>
    <w:p>
      <w:r>
        <w:rPr>
          <w:rFonts w:ascii="Times New Roman" w:hAnsi="Times New Roman"/>
          <w:b w:val="0"/>
          <w:sz w:val="24"/>
        </w:rPr>
        <w:t>• Actual prompt structure and safety rules (PROMPT_DESIGN_AND_EXAMPLES.md)</w:t>
      </w:r>
    </w:p>
    <w:p>
      <w:r>
        <w:rPr>
          <w:rFonts w:ascii="Times New Roman" w:hAnsi="Times New Roman"/>
          <w:b w:val="0"/>
          <w:sz w:val="24"/>
        </w:rPr>
        <w:t>• Safe environment sample (SAFE_CONFIG_REFERENCE.env.example)</w:t>
      </w:r>
    </w:p>
    <w:p>
      <w:r>
        <w:rPr>
          <w:rFonts w:ascii="Times New Roman" w:hAnsi="Times New Roman"/>
          <w:b w:val="0"/>
          <w:sz w:val="24"/>
        </w:rPr>
        <w:t>• 12-point printable model notes (MODEL_NOTES_PRINT_12PT.html)</w:t>
      </w:r>
    </w:p>
    <w:p>
      <w:r>
        <w:rPr>
          <w:rFonts w:ascii="Times New Roman" w:hAnsi="Times New Roman"/>
          <w:b w:val="0"/>
          <w:sz w:val="24"/>
        </w:rPr>
        <w:t>Never commit a live GEMINI_API_KEY; documented defaults and effective local runtime settings can differ.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