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jc w:val="center"/>
      </w:pPr>
      <w:r>
        <w:t>BankAssist — Interface Screenshots</w:t>
      </w:r>
    </w:p>
    <w:p>
      <w:pPr>
        <w:pStyle w:val="Subtitle"/>
        <w:jc w:val="center"/>
      </w:pPr>
      <w:r>
        <w:t>HCI Assignment #2 | Prototype evidence</w:t>
      </w:r>
    </w:p>
    <w:p>
      <w:pPr/>
      <w:r>
        <w:t>12 screenshots captured from the functioning BankAssist website. All transaction data shown is simulated.</w:t>
      </w:r>
    </w:p>
    <w:p>
      <w:pPr/>
      <w:r>
        <w:t>Screenshots captured from the redesigned desktop and mobile interface. These are prototype evidence, not real-user evaluation results.</w:t>
      </w:r>
    </w:p>
    <w:p>
      <w:pPr>
        <w:pStyle w:val="Heading1"/>
      </w:pPr>
      <w:r>
        <w:t>Figure 1. Welcome screen and navigation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1" name="Screensho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-welcome-dashboard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2. Choose a complaint category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2" name="Screenshot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-complaint-category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3. Input validation and recovery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3" name="Screenshot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date-validation-error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4. Review details before submission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4" name="Screenshot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complaint-review-confirmation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5. Complaint reference and confirmation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5" name="Screenshot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complaint-submitted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6. Track a simulated complaint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6" name="Screenshot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track-complaint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7. Refund issue selection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7" name="Screenshot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-refund-categories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8. Refund guidance conversation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8" name="Screenshot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-refund-guidanc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9. Transaction help conversation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9" name="Screenshot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-transaction-help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10. Human support and safety advice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10" name="Screenshot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-human-support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11. Unrecognized input recovery</w:t>
      </w:r>
    </w:p>
    <w:p>
      <w:pPr>
        <w:jc w:val="center"/>
      </w:pPr>
      <w:r>
        <w:drawing>
          <wp:inline xmlns:wp="http://schemas.openxmlformats.org/drawingml/2006/wordprocessingDrawing">
            <wp:extent cx="5897880" cy="4210431"/>
            <wp:docPr id="11" name="Screenshot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-unrecognized-input-recovery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1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p>
      <w:r>
        <w:br w:type="page"/>
      </w:r>
    </w:p>
    <w:p>
      <w:pPr>
        <w:pStyle w:val="Heading1"/>
      </w:pPr>
      <w:r>
        <w:t>Figure 12. Responsive mobile interface</w:t>
      </w:r>
    </w:p>
    <w:p>
      <w:pPr>
        <w:jc w:val="center"/>
      </w:pPr>
      <w:r>
        <w:drawing>
          <wp:inline xmlns:wp="http://schemas.openxmlformats.org/drawingml/2006/wordprocessingDrawing">
            <wp:extent cx="2473107" cy="7406640"/>
            <wp:docPr id="12" name="Screenshot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-mobile-responsive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3107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Source: BankAssist interactive web prototype.</w:t>
      </w:r>
    </w:p>
    <w:sectPr>
      <w:pgSz w:w="12240" w:h="15840"/>
      <w:pgMar w:top="850" w:right="850" w:bottom="850" w:left="8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  <w:color w:val="123D47"/>
    </w:rPr>
  </w:style>
  <w:style w:type="paragraph" w:styleId="Heading1">
    <w:name w:val="heading 1"/>
    <w:rPr>
      <w:b/>
      <w:sz w:val="26"/>
      <w:color w:val="185E65"/>
    </w:rPr>
  </w:style>
  <w:style w:type="paragraph" w:styleId="Subtitle">
    <w:name w:val="Subtitle"/>
    <w:rPr>
      <w:sz w:val="21"/>
    </w:rPr>
  </w:style>
  <w:style w:type="paragraph" w:styleId="Caption">
    <w:name w:val="Caption"/>
    <w:rPr>
      <w:i/>
      <w:sz w:val="18"/>
      <w:color w:val="777777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screenshot01.png"/><Relationship Id="rId3" Type="http://schemas.openxmlformats.org/officeDocument/2006/relationships/image" Target="media/screenshot02.png"/><Relationship Id="rId4" Type="http://schemas.openxmlformats.org/officeDocument/2006/relationships/image" Target="media/screenshot03.png"/><Relationship Id="rId5" Type="http://schemas.openxmlformats.org/officeDocument/2006/relationships/image" Target="media/screenshot04.png"/><Relationship Id="rId6" Type="http://schemas.openxmlformats.org/officeDocument/2006/relationships/image" Target="media/screenshot05.png"/><Relationship Id="rId7" Type="http://schemas.openxmlformats.org/officeDocument/2006/relationships/image" Target="media/screenshot06.png"/><Relationship Id="rId8" Type="http://schemas.openxmlformats.org/officeDocument/2006/relationships/image" Target="media/screenshot07.png"/><Relationship Id="rId9" Type="http://schemas.openxmlformats.org/officeDocument/2006/relationships/image" Target="media/screenshot08.png"/><Relationship Id="rId10" Type="http://schemas.openxmlformats.org/officeDocument/2006/relationships/image" Target="media/screenshot09.png"/><Relationship Id="rId11" Type="http://schemas.openxmlformats.org/officeDocument/2006/relationships/image" Target="media/screenshot10.png"/><Relationship Id="rId12" Type="http://schemas.openxmlformats.org/officeDocument/2006/relationships/image" Target="media/screenshot11.png"/><Relationship Id="rId13" Type="http://schemas.openxmlformats.org/officeDocument/2006/relationships/image" Target="media/screenshot12.png"/></Relationships>
</file>