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0CF9" w14:textId="22FFEB65"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 xml:space="preserve">Infection </w:t>
      </w:r>
      <w:r w:rsidR="00AA785A">
        <w:t>Time</w:t>
      </w:r>
      <w:r w:rsidR="00AA785A" w:rsidRPr="00654BF5">
        <w:t xml:space="preserve"> </w:t>
      </w:r>
      <w:r w:rsidRPr="00654BF5">
        <w:t>Estimates</w:t>
      </w:r>
      <w:r w:rsidR="00E26A43">
        <w:t>:</w:t>
      </w:r>
      <w:r w:rsidR="00372915">
        <w:br/>
      </w:r>
      <w:r w:rsidRPr="00654BF5">
        <w:t xml:space="preserve">Framework and Online </w:t>
      </w:r>
      <w:r w:rsidR="00CF63FC" w:rsidRPr="00654BF5">
        <w:t>Tool</w:t>
      </w:r>
    </w:p>
    <w:p w14:paraId="789E7EA6" w14:textId="1C301D8B"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2C5088" w:rsidRPr="00F211BB">
        <w:rPr>
          <w:vertAlign w:val="superscript"/>
        </w:rPr>
        <w:t>#</w:t>
      </w:r>
      <w:r w:rsidR="00FC0DAC" w:rsidRPr="00F211BB">
        <w:rPr>
          <w:vertAlign w:val="superscript"/>
        </w:rPr>
        <w:t>*</w:t>
      </w:r>
      <w:r w:rsidRPr="00F211BB">
        <w:t>, Shelley Facente</w:t>
      </w:r>
      <w:r w:rsidR="00D7273E" w:rsidRPr="00F211BB">
        <w:rPr>
          <w:vertAlign w:val="superscript"/>
        </w:rPr>
        <w:t>2</w:t>
      </w:r>
      <w:r w:rsidR="00FC0DAC" w:rsidRPr="007C354A">
        <w:rPr>
          <w:vertAlign w:val="superscript"/>
        </w:rPr>
        <w:t>*</w:t>
      </w:r>
      <w:r w:rsidR="001F2D0A">
        <w:t xml:space="preserve">, </w:t>
      </w:r>
      <w:r w:rsidR="00A14540">
        <w:t>Jeremy Bingham</w:t>
      </w:r>
      <w:r w:rsidR="00A14540">
        <w:rPr>
          <w:vertAlign w:val="superscript"/>
        </w:rPr>
        <w:t>1</w:t>
      </w:r>
      <w:r w:rsidR="00A14540">
        <w:t>,</w:t>
      </w:r>
      <w:r w:rsidR="00A14540" w:rsidRPr="007C354A">
        <w:t xml:space="preserve"> </w:t>
      </w:r>
      <w:r w:rsidR="00B23A7E" w:rsidRPr="007C354A">
        <w:t>Reshma Kassanjee</w:t>
      </w:r>
      <w:r w:rsidR="00D7273E" w:rsidRPr="007C354A">
        <w:rPr>
          <w:vertAlign w:val="superscript"/>
        </w:rPr>
        <w:t>3</w:t>
      </w:r>
      <w:r w:rsidR="001F2D0A" w:rsidRPr="007C354A">
        <w:t>,</w:t>
      </w:r>
      <w:r w:rsidR="001F2D0A">
        <w:t xml:space="preserve"> </w:t>
      </w:r>
      <w:r w:rsidRPr="007C354A">
        <w:t>Andrew Powrie</w:t>
      </w:r>
      <w:r w:rsidR="00D7273E" w:rsidRPr="007C354A">
        <w:rPr>
          <w:vertAlign w:val="superscript"/>
        </w:rPr>
        <w:t>4</w:t>
      </w:r>
      <w:r w:rsidR="00874429">
        <w:t>,</w:t>
      </w:r>
      <w:r w:rsidRPr="007C354A">
        <w:t xml:space="preserve"> </w:t>
      </w:r>
      <w:proofErr w:type="spellStart"/>
      <w:r w:rsidR="00FC0DAC" w:rsidRPr="007C354A">
        <w:t>Jaryd</w:t>
      </w:r>
      <w:proofErr w:type="spellEnd"/>
      <w:r w:rsidR="00FC0DAC" w:rsidRPr="007C354A">
        <w:t xml:space="preserve"> Gerber</w:t>
      </w:r>
      <w:r w:rsidR="00D7273E" w:rsidRPr="007C354A">
        <w:rPr>
          <w:vertAlign w:val="superscript"/>
        </w:rPr>
        <w:t>4</w:t>
      </w:r>
      <w:r w:rsidR="00FC0DAC" w:rsidRPr="007C354A">
        <w:t xml:space="preserve">, </w:t>
      </w:r>
      <w:r w:rsidRPr="007C354A">
        <w:t>Gareth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r w:rsidR="00696DFA" w:rsidRPr="007C354A">
        <w:rPr>
          <w:vertAlign w:val="superscript"/>
        </w:rPr>
        <w:t>,7</w:t>
      </w:r>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xml:space="preserve">; Address: SACEMA, Stellenbosch University, Private Bag X1, 7602 </w:t>
      </w:r>
      <w:proofErr w:type="spellStart"/>
      <w:r w:rsidRPr="0008786B">
        <w:t>Matieland</w:t>
      </w:r>
      <w:proofErr w:type="spellEnd"/>
      <w:r w:rsidRPr="0008786B">
        <w:t>,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w:t>
      </w:r>
      <w:r w:rsidRPr="00AE77EF">
        <w:t>pathogenesis studies</w:t>
      </w:r>
      <w:r>
        <w:t xml:space="preserve">, </w:t>
      </w:r>
      <w:r w:rsidRPr="00AE77EF">
        <w:t>diagnostic biomarker evaluation</w:t>
      </w:r>
      <w:r>
        <w:t xml:space="preserve">, and </w:t>
      </w:r>
      <w:r w:rsidRPr="00AA785A">
        <w:t>surveillance</w:t>
      </w:r>
      <w:r>
        <w:t xml:space="preserve"> purposes, it is frequently of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rsidRPr="00AA785A">
        <w:t>Ideally</w:t>
      </w:r>
      <w:r w:rsidR="001C375B">
        <w:t>, a</w:t>
      </w:r>
      <w:r w:rsidR="009308CE">
        <w:t xml:space="preserve"> biomarker signature would provide reasonable </w:t>
      </w:r>
      <w:r w:rsidR="009308CE" w:rsidRPr="00AA785A">
        <w:t>direct</w:t>
      </w:r>
      <w:r w:rsidR="009308CE">
        <w:t xml:space="preserve"> </w:t>
      </w:r>
      <w:r w:rsidR="009308CE" w:rsidRPr="009558E8">
        <w:t xml:space="preserve">estimates </w:t>
      </w:r>
      <w:r w:rsidR="00CC55A3" w:rsidRPr="009558E8">
        <w:t xml:space="preserve">of an individual’s time-since-infection, but </w:t>
      </w:r>
      <w:r w:rsidR="00CC55A3" w:rsidRPr="00AA785A">
        <w:t>natural inter-subject variability</w:t>
      </w:r>
      <w:r w:rsidR="00CC55A3" w:rsidRPr="009558E8">
        <w:t xml:space="preserve">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AA785A">
        <w:t>high-performing</w:t>
      </w:r>
      <w:r w:rsidR="00E07D94" w:rsidRPr="00E07D94">
        <w:t xml:space="preserve">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products, </w:t>
      </w:r>
      <w:r w:rsidR="00E07D94" w:rsidRPr="00E07D94">
        <w:t xml:space="preserve">that remains despite </w:t>
      </w:r>
      <w:r w:rsidR="00E07D94">
        <w:t xml:space="preserve">extensive </w:t>
      </w:r>
      <w:r w:rsidR="00E07D94" w:rsidRPr="00E07D94">
        <w:t xml:space="preserve">screening </w:t>
      </w:r>
      <w:r w:rsidR="0091077B">
        <w:t>(</w:t>
      </w:r>
      <w:proofErr w:type="spellStart"/>
      <w:r w:rsidR="0091077B">
        <w:t>Welte</w:t>
      </w:r>
      <w:proofErr w:type="spellEnd"/>
      <w:r w:rsidR="0091077B">
        <w:t xml:space="preserve"> et al., forthcoming).</w:t>
      </w:r>
    </w:p>
    <w:p w14:paraId="0591E5F2" w14:textId="053242F3" w:rsidR="00400248" w:rsidRDefault="006B3129" w:rsidP="00654BF5">
      <w:pPr>
        <w:pStyle w:val="Paragraph"/>
      </w:pPr>
      <w:r w:rsidRPr="00AA785A">
        <w:t xml:space="preserve">For more than 15 years, </w:t>
      </w:r>
      <w:r w:rsidR="00BD73A4" w:rsidRPr="00AA785A">
        <w:t>the only widely referenced explicit infection dating algorithm</w:t>
      </w:r>
      <w:r w:rsidR="00E62615" w:rsidRPr="00AA785A">
        <w:t>, that uses</w:t>
      </w:r>
      <w:r w:rsidRPr="00AA785A">
        <w:t xml:space="preserve"> test results to estimate </w:t>
      </w:r>
      <w:commentRangeStart w:id="0"/>
      <w:r w:rsidRPr="00AA785A">
        <w:t>time</w:t>
      </w:r>
      <w:commentRangeEnd w:id="0"/>
      <w:r w:rsidR="000A4A5A">
        <w:rPr>
          <w:rStyle w:val="CommentReference"/>
          <w:lang w:val="en-ZA"/>
        </w:rPr>
        <w:commentReference w:id="0"/>
      </w:r>
      <w:r w:rsidRPr="00AE77EF">
        <w:t xml:space="preserve">-since-infection </w:t>
      </w:r>
      <w:r w:rsidR="00BD73A4" w:rsidRPr="00AE77EF">
        <w:t>has been the ‘</w:t>
      </w:r>
      <w:proofErr w:type="spellStart"/>
      <w:r w:rsidR="00BD73A4" w:rsidRPr="00AE77EF">
        <w:t>Fiebig</w:t>
      </w:r>
      <w:proofErr w:type="spellEnd"/>
      <w:r w:rsidR="00BD73A4" w:rsidRPr="00AE77EF">
        <w:t xml:space="preserve"> stag</w:t>
      </w:r>
      <w:r w:rsidR="006223E7" w:rsidRPr="00AE77EF">
        <w:t>ing’ system</w:t>
      </w:r>
      <w:r w:rsidR="00B20007" w:rsidRPr="00AE77EF">
        <w:t xml:space="preserve"> </w:t>
      </w:r>
      <w:r w:rsidR="00F936F8" w:rsidRPr="00AA785A">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F936F8" w:rsidRPr="00AA785A">
        <w:fldChar w:fldCharType="separate"/>
      </w:r>
      <w:r w:rsidR="00F936F8" w:rsidRPr="00AE77EF">
        <w:rPr>
          <w:noProof/>
        </w:rPr>
        <w:t>[1]</w:t>
      </w:r>
      <w:r w:rsidR="00F936F8" w:rsidRPr="00AA785A">
        <w:fldChar w:fldCharType="end"/>
      </w:r>
      <w:r w:rsidR="005E36F2" w:rsidRPr="00AE77EF">
        <w:t>,</w:t>
      </w:r>
      <w:r w:rsidR="006223E7" w:rsidRPr="00AE77EF">
        <w:t xml:space="preserve"> which defines</w:t>
      </w:r>
      <w:r w:rsidR="00BD73A4" w:rsidRPr="00AE77EF">
        <w:t xml:space="preserve"> a </w:t>
      </w:r>
      <w:r w:rsidR="00BD73A4" w:rsidRPr="00AE77EF">
        <w:lastRenderedPageBreak/>
        <w:t>number of stages of early HIV infection through</w:t>
      </w:r>
      <w:r w:rsidR="00CC55A3" w:rsidRPr="00AE77EF">
        <w:t xml:space="preserve"> various ‘standard’ combinations</w:t>
      </w:r>
      <w:r w:rsidR="0027328F" w:rsidRPr="00AE77EF">
        <w:t xml:space="preserve"> of discordan</w:t>
      </w:r>
      <w:r w:rsidRPr="00AE77EF">
        <w:t xml:space="preserve">t results using </w:t>
      </w:r>
      <w:r w:rsidR="0027328F" w:rsidRPr="00AE77EF">
        <w:t xml:space="preserve">diagnostic tests of </w:t>
      </w:r>
      <w:r w:rsidR="00210545" w:rsidRPr="00AE77EF">
        <w:t>different</w:t>
      </w:r>
      <w:r w:rsidR="00CC55A3" w:rsidRPr="00AE77EF">
        <w:t xml:space="preserve"> ‘sensitivity</w:t>
      </w:r>
      <w:r w:rsidRPr="00AE77EF">
        <w:t>.</w:t>
      </w:r>
      <w:r w:rsidR="00CC55A3" w:rsidRPr="00AE77EF">
        <w:t>’</w:t>
      </w:r>
      <w:r w:rsidR="00BD73A4">
        <w:t xml:space="preserve"> </w:t>
      </w:r>
      <w:r w:rsidR="00210D73">
        <w:t xml:space="preserve">For example, </w:t>
      </w:r>
      <w:proofErr w:type="spellStart"/>
      <w:r w:rsidR="00210D73">
        <w:t>Fiebig</w:t>
      </w:r>
      <w:proofErr w:type="spellEnd"/>
      <w:r w:rsidR="00210D73">
        <w:t xml:space="preserve">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 xml:space="preserve">days </w:t>
      </w:r>
      <w:del w:id="1" w:author="Bingham, JL, Mr &lt;jeremyb@sun.ac.za&gt;" w:date="2018-03-26T11:14:00Z">
        <w:r w:rsidR="0027328F" w:rsidDel="000A4A5A">
          <w:delText xml:space="preserve">since </w:delText>
        </w:r>
      </w:del>
      <w:ins w:id="2" w:author="Bingham, JL, Mr &lt;jeremyb@sun.ac.za&gt;" w:date="2018-03-26T11:14:00Z">
        <w:r w:rsidR="000A4A5A">
          <w:t xml:space="preserve">after </w:t>
        </w:r>
      </w:ins>
      <w:r w:rsidR="0027328F">
        <w:t>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xml:space="preserve">. Others have used newer diagnostic assays to recalibrate the </w:t>
      </w:r>
      <w:proofErr w:type="spellStart"/>
      <w:r w:rsidR="001C375B">
        <w:t>Fiebig</w:t>
      </w:r>
      <w:proofErr w:type="spellEnd"/>
      <w:r w:rsidR="001C375B">
        <w:t xml:space="preserve"> stage mean duration estimates</w:t>
      </w:r>
      <w:r w:rsidR="0030414E">
        <w:t xml:space="preserve"> or redefine similar stages as an </w:t>
      </w:r>
      <w:proofErr w:type="spellStart"/>
      <w:r w:rsidR="0030414E">
        <w:t>analog</w:t>
      </w:r>
      <w:proofErr w:type="spellEnd"/>
      <w:r w:rsidR="0030414E">
        <w:t xml:space="preserve"> to the </w:t>
      </w:r>
      <w:proofErr w:type="spellStart"/>
      <w:r w:rsidR="0030414E">
        <w:t>Fiebig</w:t>
      </w:r>
      <w:proofErr w:type="spellEnd"/>
      <w:r w:rsidR="0030414E">
        <w:t xml:space="preserve"> method</w:t>
      </w:r>
      <w:r w:rsidR="006E70F2">
        <w:t xml:space="preserve"> </w:t>
      </w:r>
      <w:r w:rsidR="001C0DAC">
        <w:fldChar w:fldCharType="begin" w:fldLock="1"/>
      </w:r>
      <w:r w:rsidR="00AA785A">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"noteIndex" : 0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w:t>
      </w:r>
      <w:del w:id="3" w:author="Eduard Grebe" w:date="2018-04-19T23:57:00Z">
        <w:r w:rsidRPr="000A4A5A" w:rsidDel="002C5088">
          <w:rPr>
            <w:highlight w:val="green"/>
            <w:rPrChange w:id="4" w:author="Bingham, JL, Mr &lt;jeremyb@sun.ac.za&gt;" w:date="2018-03-26T11:15:00Z">
              <w:rPr/>
            </w:rPrChange>
          </w:rPr>
          <w:delText xml:space="preserve">more </w:delText>
        </w:r>
        <w:commentRangeStart w:id="5"/>
        <w:r w:rsidRPr="000A4A5A" w:rsidDel="002C5088">
          <w:rPr>
            <w:highlight w:val="green"/>
            <w:rPrChange w:id="6" w:author="Bingham, JL, Mr &lt;jeremyb@sun.ac.za&gt;" w:date="2018-03-26T11:15:00Z">
              <w:rPr/>
            </w:rPrChange>
          </w:rPr>
          <w:delText>and</w:delText>
        </w:r>
        <w:commentRangeEnd w:id="5"/>
        <w:r w:rsidR="000A4A5A" w:rsidDel="002C5088">
          <w:rPr>
            <w:rStyle w:val="CommentReference"/>
            <w:lang w:val="en-ZA"/>
          </w:rPr>
          <w:commentReference w:id="5"/>
        </w:r>
        <w:r w:rsidRPr="00AE77EF" w:rsidDel="002C5088">
          <w:delText xml:space="preserve"> more</w:delText>
        </w:r>
      </w:del>
      <w:ins w:id="7" w:author="Eduard Grebe" w:date="2018-04-19T23:57:00Z">
        <w:r w:rsidR="002C5088">
          <w:t>increasingly</w:t>
        </w:r>
      </w:ins>
      <w:r>
        <w:t xml:space="preserve"> </w:t>
      </w:r>
      <w:r w:rsidR="00B4740A">
        <w:t>difficult</w:t>
      </w:r>
      <w:r>
        <w:t xml:space="preserve">. </w:t>
      </w:r>
    </w:p>
    <w:p w14:paraId="1DA9401F" w14:textId="630D6583"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w:t>
      </w:r>
      <w:proofErr w:type="gramStart"/>
      <w:r>
        <w:t>plateaus</w:t>
      </w:r>
      <w:r w:rsidR="006B3129">
        <w:t xml:space="preserve">, </w:t>
      </w:r>
      <w:r w:rsidR="000E1D91">
        <w:t>and</w:t>
      </w:r>
      <w:proofErr w:type="gramEnd"/>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w:t>
      </w:r>
      <w:r w:rsidR="00FF1D85" w:rsidRPr="002C5088">
        <w:t>The intervals can further</w:t>
      </w:r>
      <w:r w:rsidR="0017070C" w:rsidRPr="002C5088">
        <w:t xml:space="preserve"> </w:t>
      </w:r>
      <w:r w:rsidRPr="002C5088">
        <w:t xml:space="preserve">serve as ‘priors’ in the analysis of additional quantitative markers obtained within </w:t>
      </w:r>
      <w:r w:rsidR="00FF1D85" w:rsidRPr="002C5088">
        <w:t>a</w:t>
      </w:r>
      <w:r w:rsidR="005962AE" w:rsidRPr="002C5088">
        <w:t xml:space="preserve"> calibrated dynamic range</w:t>
      </w:r>
      <w:r w:rsidRPr="002C5088">
        <w:t>.</w:t>
      </w:r>
    </w:p>
    <w:p w14:paraId="25FAEF34" w14:textId="0AA7A376" w:rsidR="00F0235F" w:rsidRDefault="006B3129" w:rsidP="00654BF5">
      <w:pPr>
        <w:pStyle w:val="Paragraph"/>
      </w:pPr>
      <w:r w:rsidRPr="002C5088">
        <w:t>Building from</w:t>
      </w:r>
      <w:r>
        <w:t xml:space="preserve"> the </w:t>
      </w:r>
      <w:proofErr w:type="spellStart"/>
      <w:r>
        <w:t>Fiebig</w:t>
      </w:r>
      <w:proofErr w:type="spellEnd"/>
      <w:r>
        <w:t xml:space="preserve"> staging concept, </w:t>
      </w:r>
      <w:r w:rsidR="00812D8F">
        <w:t xml:space="preserve">we developed </w:t>
      </w:r>
      <w:r>
        <w:t xml:space="preserve">a new, </w:t>
      </w:r>
      <w:r w:rsidRPr="002C5088">
        <w:t>more nuanced</w:t>
      </w:r>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AA785A">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"noteIndex" : 0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AA785A">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"noteIndex" : 0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w:t>
      </w:r>
      <w:r w:rsidR="00F0235F" w:rsidRPr="002C5088">
        <w:t>case definitions for ‘recent HIV infection’</w:t>
      </w:r>
      <w:r w:rsidR="00F0235F">
        <w:t xml:space="preserve">, with intended applicability mainly to </w:t>
      </w:r>
      <w:r w:rsidR="004A2D91" w:rsidRPr="002C5088">
        <w:t xml:space="preserve">HIV incidence </w:t>
      </w:r>
      <w:r w:rsidR="00F0235F" w:rsidRPr="002C5088">
        <w:t>surve</w:t>
      </w:r>
      <w:r w:rsidR="00EA09EE" w:rsidRPr="002C5088">
        <w:t>illance</w:t>
      </w:r>
      <w:r w:rsidR="00EA09EE">
        <w:t>, rather than individual-</w:t>
      </w:r>
      <w:r w:rsidR="00F0235F">
        <w:t>level staging</w:t>
      </w:r>
      <w:r w:rsidR="003C40F3">
        <w:t xml:space="preserve"> </w:t>
      </w:r>
      <w:r w:rsidR="00944B01">
        <w:fldChar w:fldCharType="begin" w:fldLock="1"/>
      </w:r>
      <w:r w:rsidR="00AA785A">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"noteIndex" : 0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AA785A">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"noteIndex" : 0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recency test results </w:t>
      </w:r>
      <w:r w:rsidR="00D375C3">
        <w:t>bring</w:t>
      </w:r>
      <w:r w:rsidR="00F0235F">
        <w:t xml:space="preserve"> together material from subjects in numerous studies, each of which used different diagnostic algorithms to capture information about the timing of HIV acquisition </w:t>
      </w:r>
      <w:r w:rsidR="00F0235F" w:rsidRPr="002C5088">
        <w:rPr>
          <w:color w:val="000000" w:themeColor="text1"/>
        </w:rPr>
        <w:t>or</w:t>
      </w:r>
      <w:r w:rsidR="00F0235F">
        <w:t xml:space="preserve"> seroconversion. </w:t>
      </w:r>
      <w:r w:rsidR="00B875BB">
        <w:t>To meet this challenge</w:t>
      </w:r>
      <w:r w:rsidR="00F0235F" w:rsidRPr="00B875BB">
        <w:t xml:space="preserve"> </w:t>
      </w:r>
      <w:r w:rsidR="00F0235F">
        <w:t xml:space="preserve">we linked specimens from thousands of study-patient interactions into a coherent and consistent infection dating scheme, in order to estimate the critical properties of recent </w:t>
      </w:r>
      <w:r w:rsidR="00F0235F" w:rsidRPr="002C5088">
        <w:rPr>
          <w:color w:val="000000" w:themeColor="text1"/>
        </w:rPr>
        <w:t>infection</w:t>
      </w:r>
      <w:r w:rsidR="00F0235F">
        <w:t xml:space="preserve"> tests for surveillance applications, i.e. Mean Duration of Recent Infection (MDRI) and False Recent Rate (FRR) as </w:t>
      </w:r>
      <w:r w:rsidR="008011B2">
        <w:t>previously defined</w:t>
      </w:r>
      <w:r w:rsidR="00D449CF">
        <w:t xml:space="preserve"> </w:t>
      </w:r>
      <w:r w:rsidR="00A87199">
        <w:fldChar w:fldCharType="begin" w:fldLock="1"/>
      </w:r>
      <w:r w:rsidR="00AA785A">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"noteIndex" : 0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4B0D2C34"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AA785A">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"noteIndex" : 0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sensitive viral load assay –</w:t>
      </w:r>
      <w:ins w:id="8" w:author="Eduard Grebe" w:date="2018-04-19T23:53:00Z">
        <w:r w:rsidR="00905ADF">
          <w:t xml:space="preserve"> </w:t>
        </w:r>
      </w:ins>
      <w:r>
        <w:t xml:space="preserve">with a detection threshold of 1 </w:t>
      </w:r>
      <w:r w:rsidR="00FE366D">
        <w:t>RNA copy/</w:t>
      </w:r>
      <w:r>
        <w:t>ml of plasma</w:t>
      </w:r>
      <w:r w:rsidR="00B875BB">
        <w:t xml:space="preserve"> – </w:t>
      </w:r>
      <w:r w:rsidR="00B875BB" w:rsidRPr="00A66588">
        <w:rPr>
          <w:highlight w:val="green"/>
        </w:rPr>
        <w:t>could [would]</w:t>
      </w:r>
      <w:r w:rsidR="00B875BB">
        <w:t xml:space="preserve"> detect an infection. We call this</w:t>
      </w:r>
      <w:r>
        <w:t xml:space="preserve">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 xml:space="preserve">Where possible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w:t>
      </w:r>
      <w:r w:rsidR="00FE73A1" w:rsidRPr="00A66588">
        <w:t xml:space="preserve"> </w:t>
      </w:r>
      <w:r w:rsidR="00FE73A1">
        <w:t>variable between individuals</w:t>
      </w:r>
      <w:r w:rsidR="006327B0">
        <w:t xml:space="preserve">, </w:t>
      </w:r>
      <w:commentRangeStart w:id="9"/>
      <w:r w:rsidR="006327B0">
        <w:t>but would be on the</w:t>
      </w:r>
      <w:commentRangeEnd w:id="9"/>
      <w:r w:rsidR="00B875BB">
        <w:rPr>
          <w:rStyle w:val="CommentReference"/>
          <w:lang w:val="en-ZA"/>
        </w:rPr>
        <w:commentReference w:id="9"/>
      </w:r>
      <w:r w:rsidR="006327B0">
        <w:t xml:space="preserve"> order of a few days</w:t>
      </w:r>
      <w:r w:rsidR="00A71C14">
        <w:t xml:space="preserve"> </w:t>
      </w:r>
      <w:r w:rsidR="00A71C14" w:rsidRPr="00A71C14">
        <w:fldChar w:fldCharType="begin" w:fldLock="1"/>
      </w:r>
      <w:r w:rsidR="00AA785A">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"noteIndex" : 0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commentRangeStart w:id="10"/>
      <w:r w:rsidR="00E9310F" w:rsidRPr="00F935D4">
        <w:t xml:space="preserve">0.35 </w:t>
      </w:r>
      <w:r w:rsidR="00BB3299" w:rsidRPr="00F935D4">
        <w:t>log</w:t>
      </w:r>
      <w:r w:rsidR="00BB3299" w:rsidRPr="00F935D4">
        <w:rPr>
          <w:vertAlign w:val="subscript"/>
        </w:rPr>
        <w:t>10</w:t>
      </w:r>
      <w:r w:rsidR="00A71C14" w:rsidRPr="00F935D4">
        <w:t>(</w:t>
      </w:r>
      <w:r w:rsidR="00BB3299" w:rsidRPr="00A66588">
        <w:t>RNA c</w:t>
      </w:r>
      <w:r w:rsidR="00944B01" w:rsidRPr="00A66588">
        <w:t>opies</w:t>
      </w:r>
      <w:r w:rsidR="00BB3299" w:rsidRPr="00A66588">
        <w:t>/ml</w:t>
      </w:r>
      <w:r w:rsidR="00A71C14" w:rsidRPr="00A66588">
        <w:t>)</w:t>
      </w:r>
      <w:r w:rsidR="00BB3299" w:rsidRPr="00A66588">
        <w:t>/day</w:t>
      </w:r>
      <w:r w:rsidR="00944B01" w:rsidRPr="00A66588">
        <w:t xml:space="preserve"> </w:t>
      </w:r>
      <w:commentRangeEnd w:id="10"/>
      <w:r w:rsidR="004D05CC" w:rsidRPr="00A66588">
        <w:rPr>
          <w:rStyle w:val="CommentReference"/>
          <w:lang w:val="en-ZA"/>
        </w:rPr>
        <w:commentReference w:id="10"/>
      </w:r>
      <w:r w:rsidR="00A14B1C" w:rsidRPr="00F935D4">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4718E6FA"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AA785A">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"noteIndex" : 0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proofErr w:type="spellStart"/>
      <w:r w:rsidRPr="00654BF5">
        <w:lastRenderedPageBreak/>
        <w:t>Fiebig</w:t>
      </w:r>
      <w:proofErr w:type="spellEnd"/>
      <w:r w:rsidRPr="00654BF5">
        <w:t>-like staging</w:t>
      </w:r>
    </w:p>
    <w:p w14:paraId="6280FCC7" w14:textId="55F6F3CA" w:rsidR="00617F24" w:rsidRDefault="000E12EA" w:rsidP="00654BF5">
      <w:pPr>
        <w:pStyle w:val="Paragraph"/>
      </w:pPr>
      <w:r>
        <w:t xml:space="preserve">The </w:t>
      </w:r>
      <w:r w:rsidR="0062777E">
        <w:t>fundamental feature of</w:t>
      </w:r>
      <w:r>
        <w:t xml:space="preserve"> the </w:t>
      </w:r>
      <w:proofErr w:type="spellStart"/>
      <w:r>
        <w:t>Fiebig</w:t>
      </w:r>
      <w:proofErr w:type="spellEnd"/>
      <w:r>
        <w:t xml:space="preserve"> staging system</w:t>
      </w:r>
      <w:r w:rsidR="008725F5">
        <w:t xml:space="preserve"> </w:t>
      </w:r>
      <w:r w:rsidR="00BF2998">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5DD19A86" w:rsidR="00617F24" w:rsidRDefault="00617F24" w:rsidP="00654BF5">
      <w:pPr>
        <w:pStyle w:val="Paragraph"/>
      </w:pPr>
      <w:r>
        <w:t>I</w:t>
      </w:r>
      <w:r w:rsidR="00E07D94">
        <w:t>nterpreted at a population level</w:t>
      </w:r>
      <w:r>
        <w:t>, a</w:t>
      </w:r>
      <w:r w:rsidR="000657F4">
        <w:t xml:space="preserve"> particular </w:t>
      </w:r>
      <w:r>
        <w:t>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w:t>
      </w:r>
      <w:commentRangeStart w:id="11"/>
      <w:r w:rsidR="002A7E43">
        <w:t>(i.e</w:t>
      </w:r>
      <w:r w:rsidR="00E07D94">
        <w:t>.</w:t>
      </w:r>
      <w:r w:rsidR="002A7E43">
        <w:t xml:space="preserve"> all population members have the same probability of being selected)</w:t>
      </w:r>
      <w:r w:rsidR="0026131B">
        <w:t xml:space="preserve"> </w:t>
      </w:r>
      <w:commentRangeEnd w:id="11"/>
      <w:r w:rsidR="000657F4">
        <w:rPr>
          <w:rStyle w:val="CommentReference"/>
          <w:lang w:val="en-ZA"/>
        </w:rPr>
        <w:commentReference w:id="11"/>
      </w:r>
      <w:r w:rsidR="0026131B">
        <w:t xml:space="preserve">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xml:space="preserve">. </w:t>
      </w:r>
      <w:r w:rsidR="000657F4">
        <w:t xml:space="preserve">The key features of a test’s sensitivity curve (represented by the </w:t>
      </w:r>
      <w:r w:rsidR="00F7672D">
        <w:t>purple</w:t>
      </w:r>
      <w:r w:rsidR="000657F4">
        <w:t xml:space="preserve"> curve in figure 1)</w:t>
      </w:r>
      <w:r>
        <w:t xml:space="preserve"> are that:</w:t>
      </w:r>
    </w:p>
    <w:p w14:paraId="3FCD9BF6" w14:textId="22FBD44F" w:rsidR="00617F24" w:rsidRDefault="00617F24" w:rsidP="00654BF5">
      <w:pPr>
        <w:pStyle w:val="ListParagraph"/>
      </w:pPr>
      <w:r>
        <w:t xml:space="preserve">there is effectively no chance of detecting an infection immediately after </w:t>
      </w:r>
      <w:commentRangeStart w:id="12"/>
      <w:commentRangeStart w:id="13"/>
      <w:r>
        <w:t>exposure</w:t>
      </w:r>
      <w:commentRangeEnd w:id="12"/>
      <w:r w:rsidR="000657F4">
        <w:rPr>
          <w:rStyle w:val="CommentReference"/>
          <w:lang w:val="en-ZA"/>
        </w:rPr>
        <w:commentReference w:id="12"/>
      </w:r>
      <w:commentRangeEnd w:id="13"/>
      <w:r w:rsidR="00F7672D">
        <w:rPr>
          <w:rStyle w:val="CommentReference"/>
          <w:lang w:val="en-ZA"/>
        </w:rPr>
        <w:commentReference w:id="13"/>
      </w:r>
      <w:r w:rsidR="001426D3">
        <w:t>;</w:t>
      </w:r>
    </w:p>
    <w:p w14:paraId="476E2100" w14:textId="76F41BE3" w:rsidR="00617F24" w:rsidRDefault="00617F24" w:rsidP="00654BF5">
      <w:pPr>
        <w:pStyle w:val="ListParagraph"/>
      </w:pPr>
      <w:r>
        <w:t xml:space="preserve">after some time, </w:t>
      </w:r>
      <w:r w:rsidR="000657F4">
        <w:t xml:space="preserve">the </w:t>
      </w:r>
      <w:r>
        <w:t>test will</w:t>
      </w:r>
      <w:r w:rsidR="000657F4">
        <w:t xml:space="preserve"> almost certainly</w:t>
      </w:r>
      <w:r>
        <w:t xml:space="preserve"> detect</w:t>
      </w:r>
      <w:r w:rsidR="000657F4">
        <w:t xml:space="preserve"> an</w:t>
      </w:r>
      <w:r>
        <w:t xml:space="preserve"> infection</w:t>
      </w:r>
      <w:r w:rsidR="001426D3">
        <w:t>;</w:t>
      </w:r>
    </w:p>
    <w:p w14:paraId="6E1C8733" w14:textId="354C33E4" w:rsidR="00617F24" w:rsidRDefault="00617F24" w:rsidP="00654BF5">
      <w:pPr>
        <w:pStyle w:val="ListParagraph"/>
      </w:pPr>
      <w:r>
        <w:t xml:space="preserve">there is a characteristic time </w:t>
      </w:r>
      <w:r w:rsidR="0026131B">
        <w:t>range</w:t>
      </w:r>
      <w:r w:rsidR="00EA0829">
        <w:t xml:space="preserve"> over which this function </w:t>
      </w:r>
      <w:r w:rsidR="00723E05">
        <w:t>transitions from close to zero to close to one</w:t>
      </w:r>
      <w:ins w:id="14" w:author="Bingham, JL, Mr &lt;jeremyb@sun.ac.za&gt;" w:date="2018-04-06T06:06:00Z">
        <w:r w:rsidR="000657F4">
          <w:t xml:space="preserve">. </w:t>
        </w:r>
      </w:ins>
      <w:commentRangeStart w:id="15"/>
      <w:r w:rsidR="000657F4">
        <w:t>This can</w:t>
      </w:r>
      <w:r w:rsidR="00723E05">
        <w:t xml:space="preserve"> be summarised as something very much like a mean or median and a standard deviation</w:t>
      </w:r>
      <w:r w:rsidR="00EA0829">
        <w:t>.</w:t>
      </w:r>
      <w:commentRangeEnd w:id="15"/>
      <w:r w:rsidR="000657F4">
        <w:rPr>
          <w:rStyle w:val="CommentReference"/>
          <w:lang w:val="en-ZA"/>
        </w:rPr>
        <w:commentReference w:id="15"/>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F7672D">
      <w:pPr>
        <w:ind w:left="360"/>
        <w:jc w:val="center"/>
      </w:pPr>
      <w:r w:rsidRPr="00654BF5">
        <w:rPr>
          <w:noProof/>
          <w:lang w:eastAsia="en-ZA"/>
        </w:rPr>
        <w:drawing>
          <wp:inline distT="0" distB="0" distL="0" distR="0" wp14:anchorId="53943D75" wp14:editId="6A350CD3">
            <wp:extent cx="5619268" cy="284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9268" cy="2847095"/>
                    </a:xfrm>
                    <a:prstGeom prst="rect">
                      <a:avLst/>
                    </a:prstGeom>
                  </pic:spPr>
                </pic:pic>
              </a:graphicData>
            </a:graphic>
          </wp:inline>
        </w:drawing>
      </w:r>
    </w:p>
    <w:p w14:paraId="03434CFA" w14:textId="49408E71" w:rsidR="003616DD" w:rsidRDefault="008609EC" w:rsidP="00654BF5">
      <w:pPr>
        <w:pStyle w:val="Paragraph"/>
      </w:pPr>
      <w:r>
        <w:t>For individuals in the population, the test will perform with some variation from the red population curve. G</w:t>
      </w:r>
      <w:r w:rsidR="00873778">
        <w:t>enotype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 xml:space="preserve">invading </w:t>
      </w:r>
      <w:proofErr w:type="spellStart"/>
      <w:r w:rsidR="00873778">
        <w:t>quasispecies</w:t>
      </w:r>
      <w:proofErr w:type="spellEnd"/>
      <w:r w:rsidR="00873778">
        <w:t>,</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which 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w:t>
      </w:r>
      <w:r w:rsidR="00873778">
        <w:lastRenderedPageBreak/>
        <w:t>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parameter </w:t>
      </w:r>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proofErr w:type="gramStart"/>
      <w:r w:rsidR="0062777E" w:rsidRPr="00591960">
        <w:t>)</w:t>
      </w:r>
      <w:r w:rsidRPr="00591960">
        <w:t>, and</w:t>
      </w:r>
      <w:proofErr w:type="gramEnd"/>
      <w:r w:rsidRPr="00591960">
        <w:t xml:space="preserve">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r>
        <w:t>tests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of</w:t>
      </w:r>
      <w:r w:rsidR="00FA537B">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each with a diagnostic delay</w:t>
      </w:r>
      <w:r w:rsidR="00D917C9">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which narrow the ‘window of 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lastRenderedPageBreak/>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r w:rsidR="00890845">
        <w:t>timepoints</w:t>
      </w:r>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r>
        <w:lastRenderedPageBreak/>
        <w:t>the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first formulation, as it seems more intuitively appealing when</w:t>
      </w:r>
      <w:r w:rsidR="006F062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r>
        <w:t xml:space="preserve">the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eastAsia="en-ZA"/>
        </w:rPr>
        <w:drawing>
          <wp:inline distT="0" distB="0" distL="0" distR="0" wp14:anchorId="7C024E0A" wp14:editId="0B3F7421">
            <wp:extent cx="5726226" cy="2901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6226" cy="2901287"/>
                    </a:xfrm>
                    <a:prstGeom prst="rect">
                      <a:avLst/>
                    </a:prstGeom>
                  </pic:spPr>
                </pic:pic>
              </a:graphicData>
            </a:graphic>
          </wp:inline>
        </w:drawing>
      </w:r>
    </w:p>
    <w:p w14:paraId="45E27AB9" w14:textId="7A8DBB02" w:rsidR="00854DA5" w:rsidRDefault="00031A97" w:rsidP="0063633A">
      <w:pPr>
        <w:pStyle w:val="Paragraph"/>
      </w:pPr>
      <w:r>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r w:rsidR="006F062F">
        <w:t>averaged</w:t>
      </w:r>
      <w:r w:rsidR="00D821F4">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w:t>
      </w:r>
      <w:r w:rsidR="00730E47">
        <w:lastRenderedPageBreak/>
        <w:t>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r w:rsidR="006C1FF2">
        <w:t>average</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proofErr w:type="spellStart"/>
      <w:r w:rsidR="0011140A">
        <w:t>prog</w:t>
      </w:r>
      <w:r w:rsidR="00826957">
        <w:t>ressor</w:t>
      </w:r>
      <w:proofErr w:type="spellEnd"/>
      <w:r w:rsidR="00826957">
        <w:t xml:space="preserve">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w:t>
      </w:r>
      <w:proofErr w:type="gramStart"/>
      <w:r w:rsidR="0011140A">
        <w:t>investigated</w:t>
      </w:r>
      <w:proofErr w:type="gramEnd"/>
      <w:r w:rsidR="0011140A">
        <w:t xml:space="preserve"> and underlying test failures </w:t>
      </w:r>
      <w:r>
        <w:t>would</w:t>
      </w:r>
      <w:r w:rsidR="00826957">
        <w:t xml:space="preserve"> </w:t>
      </w:r>
      <w:r w:rsidR="0011140A">
        <w:t xml:space="preserve">usually </w:t>
      </w:r>
      <w:r>
        <w:t xml:space="preserve">be </w:t>
      </w:r>
      <w:r w:rsidR="0011140A">
        <w:t>detected.</w:t>
      </w:r>
    </w:p>
    <w:p w14:paraId="3B4DDC63" w14:textId="62920431"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r w:rsidR="00826957" w:rsidRPr="00556C7A">
        <w:rPr>
          <w:i/>
        </w:rPr>
        <w:t xml:space="preserve">he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w:t>
      </w:r>
      <w:ins w:id="16" w:author="Eduard Grebe" w:date="2018-04-20T00:03:00Z">
        <w:r w:rsidR="00F7672D">
          <w:t xml:space="preserve">series of </w:t>
        </w:r>
      </w:ins>
      <w:r w:rsidR="00826957">
        <w:t>hypothetical</w:t>
      </w:r>
      <w:r w:rsidR="0011140A">
        <w:t xml:space="preserve"> infection time</w:t>
      </w:r>
      <w:ins w:id="17" w:author="Eduard Grebe" w:date="2018-04-20T00:03:00Z">
        <w:r w:rsidR="00F7672D">
          <w:t>s</w:t>
        </w:r>
      </w:ins>
      <w:r w:rsidR="0011140A">
        <w:t xml:space="preserve"> </w:t>
      </w:r>
      <w:r w:rsidR="00852ADE">
        <w:t xml:space="preserve">(vertical arrow labelled </w:t>
      </w:r>
      <m:oMath>
        <m:sSub>
          <m:sSubPr>
            <m:ctrlPr>
              <w:rPr>
                <w:rFonts w:ascii="Cambria Math" w:hAnsi="Cambria Math"/>
                <w:i/>
              </w:rPr>
            </m:ctrlPr>
          </m:sSubPr>
          <m:e>
            <m:r>
              <w:rPr>
                <w:rFonts w:ascii="Cambria Math" w:hAnsi="Cambria Math"/>
              </w:rPr>
              <m:t>t</m:t>
            </m:r>
          </m:e>
          <m:sub>
            <m:r>
              <w:del w:id="18" w:author="Eduard Grebe" w:date="2018-04-20T00:03:00Z">
                <w:rPr>
                  <w:rFonts w:ascii="Cambria Math" w:hAnsi="Cambria Math"/>
                </w:rPr>
                <m:t>H</m:t>
              </w:del>
            </m:r>
            <m:r>
              <w:ins w:id="19" w:author="Eduard Grebe" w:date="2018-04-20T00:03:00Z">
                <w:rPr>
                  <w:rFonts w:ascii="Cambria Math" w:hAnsi="Cambria Math"/>
                </w:rPr>
                <m:t>inf</m:t>
              </w:ins>
            </m:r>
          </m:sub>
        </m:sSub>
      </m:oMath>
      <w:r w:rsidR="00826957">
        <w:t xml:space="preserve">) </w:t>
      </w:r>
      <w:r w:rsidR="0058141B">
        <w:t>that</w:t>
      </w:r>
      <w:r w:rsidR="0011140A">
        <w:t xml:space="preserve"> is suggestive of the </w:t>
      </w:r>
      <w:r w:rsidR="0058141B">
        <w:t xml:space="preserve">subject being a </w:t>
      </w:r>
      <w:commentRangeStart w:id="20"/>
      <w:r w:rsidR="0058141B">
        <w:t>somewhat-slower-than-</w:t>
      </w:r>
      <w:r w:rsidR="0011140A">
        <w:t xml:space="preserve">average </w:t>
      </w:r>
      <w:proofErr w:type="spellStart"/>
      <w:r w:rsidR="0011140A">
        <w:t>progressor</w:t>
      </w:r>
      <w:proofErr w:type="spellEnd"/>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commentRangeEnd w:id="20"/>
      <w:r w:rsidR="006723F2">
        <w:rPr>
          <w:rStyle w:val="CommentReference"/>
          <w:lang w:val="en-ZA"/>
        </w:rPr>
        <w:commentReference w:id="20"/>
      </w:r>
      <w:ins w:id="21" w:author="Eduard Grebe" w:date="2018-04-20T00:04:00Z">
        <w:r w:rsidR="006723F2">
          <w:t>The final panel shows the full conditional likelihood.</w:t>
        </w:r>
      </w:ins>
    </w:p>
    <w:p w14:paraId="368AF8D3" w14:textId="77777777" w:rsidR="0039177C" w:rsidRDefault="0039177C">
      <w:pPr>
        <w:rPr>
          <w:ins w:id="22" w:author="Eduard Grebe" w:date="2018-04-19T20:54:00Z"/>
          <w:b/>
          <w:sz w:val="24"/>
          <w:szCs w:val="24"/>
          <w:lang w:val="en-GB"/>
        </w:rPr>
      </w:pPr>
      <w:ins w:id="23" w:author="Eduard Grebe" w:date="2018-04-19T20:54:00Z">
        <w:r>
          <w:br w:type="page"/>
        </w:r>
      </w:ins>
    </w:p>
    <w:p w14:paraId="3EAE0BEC" w14:textId="51334280" w:rsidR="009C36F5" w:rsidRPr="009C36F5" w:rsidRDefault="0063633A" w:rsidP="009339A5">
      <w:pPr>
        <w:pStyle w:val="Figurecaption"/>
      </w:pPr>
      <w:r w:rsidRPr="0063633A">
        <w:lastRenderedPageBreak/>
        <w:t>Figure</w:t>
      </w:r>
      <w:r>
        <w:t xml:space="preserve"> 2b</w:t>
      </w:r>
    </w:p>
    <w:p w14:paraId="0F512329" w14:textId="0C7885B5" w:rsidR="009C36F5" w:rsidRDefault="009C36F5" w:rsidP="0095711C">
      <w:pPr>
        <w:jc w:val="center"/>
        <w:rPr>
          <w:ins w:id="24" w:author="Eduard Grebe" w:date="2018-04-19T20:54:00Z"/>
        </w:rPr>
      </w:pPr>
      <w:r w:rsidRPr="00654BF5">
        <w:rPr>
          <w:noProof/>
          <w:lang w:eastAsia="en-ZA"/>
        </w:rPr>
        <w:drawing>
          <wp:inline distT="0" distB="0" distL="0" distR="0" wp14:anchorId="7EC91801" wp14:editId="300F91CC">
            <wp:extent cx="5220000" cy="2644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20000" cy="2644799"/>
                    </a:xfrm>
                    <a:prstGeom prst="rect">
                      <a:avLst/>
                    </a:prstGeom>
                  </pic:spPr>
                </pic:pic>
              </a:graphicData>
            </a:graphic>
          </wp:inline>
        </w:drawing>
      </w:r>
    </w:p>
    <w:p w14:paraId="06AE1612" w14:textId="495790A6" w:rsidR="0039177C" w:rsidRDefault="0039177C" w:rsidP="0095711C">
      <w:pPr>
        <w:jc w:val="center"/>
        <w:rPr>
          <w:ins w:id="25" w:author="Eduard Grebe" w:date="2018-04-19T20:54:00Z"/>
        </w:rPr>
      </w:pPr>
      <w:ins w:id="26" w:author="Eduard Grebe" w:date="2018-04-19T20:54:00Z">
        <w:r>
          <w:rPr>
            <w:noProof/>
          </w:rPr>
          <w:drawing>
            <wp:inline distT="0" distB="0" distL="0" distR="0" wp14:anchorId="352BD26E" wp14:editId="5F67F9AC">
              <wp:extent cx="5220000" cy="264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b_frame_2.pdf"/>
                      <pic:cNvPicPr/>
                    </pic:nvPicPr>
                    <pic:blipFill>
                      <a:blip r:embed="rId16">
                        <a:extLst>
                          <a:ext uri="{28A0092B-C50C-407E-A947-70E740481C1C}">
                            <a14:useLocalDpi xmlns:a14="http://schemas.microsoft.com/office/drawing/2010/main" val="0"/>
                          </a:ext>
                        </a:extLst>
                      </a:blip>
                      <a:stretch>
                        <a:fillRect/>
                      </a:stretch>
                    </pic:blipFill>
                    <pic:spPr>
                      <a:xfrm>
                        <a:off x="0" y="0"/>
                        <a:ext cx="5220000" cy="2644700"/>
                      </a:xfrm>
                      <a:prstGeom prst="rect">
                        <a:avLst/>
                      </a:prstGeom>
                    </pic:spPr>
                  </pic:pic>
                </a:graphicData>
              </a:graphic>
            </wp:inline>
          </w:drawing>
        </w:r>
      </w:ins>
    </w:p>
    <w:p w14:paraId="3F5517A2" w14:textId="609E6B06" w:rsidR="0039177C" w:rsidRDefault="0039177C" w:rsidP="0095711C">
      <w:pPr>
        <w:jc w:val="center"/>
        <w:rPr>
          <w:ins w:id="27" w:author="Eduard Grebe" w:date="2018-04-19T20:55:00Z"/>
        </w:rPr>
      </w:pPr>
      <w:ins w:id="28" w:author="Eduard Grebe" w:date="2018-04-19T20:55:00Z">
        <w:r>
          <w:rPr>
            <w:noProof/>
          </w:rPr>
          <w:drawing>
            <wp:inline distT="0" distB="0" distL="0" distR="0" wp14:anchorId="3F321188" wp14:editId="27DBE936">
              <wp:extent cx="5220000" cy="264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2b_frame_3.pdf"/>
                      <pic:cNvPicPr/>
                    </pic:nvPicPr>
                    <pic:blipFill>
                      <a:blip r:embed="rId17">
                        <a:extLst>
                          <a:ext uri="{28A0092B-C50C-407E-A947-70E740481C1C}">
                            <a14:useLocalDpi xmlns:a14="http://schemas.microsoft.com/office/drawing/2010/main" val="0"/>
                          </a:ext>
                        </a:extLst>
                      </a:blip>
                      <a:stretch>
                        <a:fillRect/>
                      </a:stretch>
                    </pic:blipFill>
                    <pic:spPr>
                      <a:xfrm>
                        <a:off x="0" y="0"/>
                        <a:ext cx="5220000" cy="2644700"/>
                      </a:xfrm>
                      <a:prstGeom prst="rect">
                        <a:avLst/>
                      </a:prstGeom>
                    </pic:spPr>
                  </pic:pic>
                </a:graphicData>
              </a:graphic>
            </wp:inline>
          </w:drawing>
        </w:r>
      </w:ins>
    </w:p>
    <w:p w14:paraId="387CA6F6" w14:textId="10C87772" w:rsidR="0039177C" w:rsidRDefault="0039177C" w:rsidP="0095711C">
      <w:pPr>
        <w:jc w:val="center"/>
        <w:rPr>
          <w:ins w:id="29" w:author="Eduard Grebe" w:date="2018-04-19T20:55:00Z"/>
        </w:rPr>
      </w:pPr>
      <w:ins w:id="30" w:author="Eduard Grebe" w:date="2018-04-19T20:55:00Z">
        <w:r>
          <w:rPr>
            <w:noProof/>
          </w:rPr>
          <w:lastRenderedPageBreak/>
          <w:drawing>
            <wp:inline distT="0" distB="0" distL="0" distR="0" wp14:anchorId="0166100E" wp14:editId="688BBDE9">
              <wp:extent cx="5220000" cy="26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2b_frame_4.pdf"/>
                      <pic:cNvPicPr/>
                    </pic:nvPicPr>
                    <pic:blipFill>
                      <a:blip r:embed="rId18">
                        <a:extLst>
                          <a:ext uri="{28A0092B-C50C-407E-A947-70E740481C1C}">
                            <a14:useLocalDpi xmlns:a14="http://schemas.microsoft.com/office/drawing/2010/main" val="0"/>
                          </a:ext>
                        </a:extLst>
                      </a:blip>
                      <a:stretch>
                        <a:fillRect/>
                      </a:stretch>
                    </pic:blipFill>
                    <pic:spPr>
                      <a:xfrm>
                        <a:off x="0" y="0"/>
                        <a:ext cx="5220000" cy="2644700"/>
                      </a:xfrm>
                      <a:prstGeom prst="rect">
                        <a:avLst/>
                      </a:prstGeom>
                    </pic:spPr>
                  </pic:pic>
                </a:graphicData>
              </a:graphic>
            </wp:inline>
          </w:drawing>
        </w:r>
      </w:ins>
    </w:p>
    <w:p w14:paraId="759AF8DF" w14:textId="0E45E40B" w:rsidR="0039177C" w:rsidRDefault="0039177C" w:rsidP="0095711C">
      <w:pPr>
        <w:jc w:val="center"/>
      </w:pPr>
      <w:ins w:id="31" w:author="Eduard Grebe" w:date="2018-04-19T20:55:00Z">
        <w:r>
          <w:rPr>
            <w:noProof/>
          </w:rPr>
          <w:drawing>
            <wp:inline distT="0" distB="0" distL="0" distR="0" wp14:anchorId="2A4A2A2D" wp14:editId="4D9A389B">
              <wp:extent cx="5220000" cy="264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b_frame_5.pdf"/>
                      <pic:cNvPicPr/>
                    </pic:nvPicPr>
                    <pic:blipFill>
                      <a:blip r:embed="rId19">
                        <a:extLst>
                          <a:ext uri="{28A0092B-C50C-407E-A947-70E740481C1C}">
                            <a14:useLocalDpi xmlns:a14="http://schemas.microsoft.com/office/drawing/2010/main" val="0"/>
                          </a:ext>
                        </a:extLst>
                      </a:blip>
                      <a:stretch>
                        <a:fillRect/>
                      </a:stretch>
                    </pic:blipFill>
                    <pic:spPr>
                      <a:xfrm>
                        <a:off x="0" y="0"/>
                        <a:ext cx="5220000" cy="2644700"/>
                      </a:xfrm>
                      <a:prstGeom prst="rect">
                        <a:avLst/>
                      </a:prstGeom>
                    </pic:spPr>
                  </pic:pic>
                </a:graphicData>
              </a:graphic>
            </wp:inline>
          </w:drawing>
        </w:r>
      </w:ins>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416873">
        <w:t xml:space="preserve">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of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difference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average</w:t>
      </w:r>
      <w:r w:rsidR="00BE130C">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w:t>
      </w:r>
      <w:proofErr w:type="gramStart"/>
      <w:r w:rsidR="007E64CF">
        <w:t>constructed, and</w:t>
      </w:r>
      <w:proofErr w:type="gramEnd"/>
      <w:r w:rsidR="007E64CF">
        <w:t xml:space="preserve">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14D48909" w14:textId="1F9967E6" w:rsidR="00B70C40" w:rsidRDefault="0063633A" w:rsidP="006723F2">
      <w:pPr>
        <w:pStyle w:val="Figurecaption"/>
        <w:rPr>
          <w:ins w:id="32" w:author="Eduard Grebe" w:date="2018-04-13T15:44:00Z"/>
        </w:rPr>
      </w:pPr>
      <w:r>
        <w:lastRenderedPageBreak/>
        <w:t>Figure 2c</w:t>
      </w:r>
    </w:p>
    <w:p w14:paraId="1796460E" w14:textId="037D592E" w:rsidR="003045EA" w:rsidRPr="00B70C40" w:rsidRDefault="001B1255" w:rsidP="0095711C">
      <w:pPr>
        <w:jc w:val="center"/>
        <w:rPr>
          <w:b/>
        </w:rPr>
      </w:pPr>
      <w:r>
        <w:rPr>
          <w:b/>
          <w:noProof/>
        </w:rPr>
        <w:drawing>
          <wp:inline distT="0" distB="0" distL="0" distR="0" wp14:anchorId="7AD2DC66" wp14:editId="127C2DFF">
            <wp:extent cx="5731510" cy="290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c.eps"/>
                    <pic:cNvPicPr/>
                  </pic:nvPicPr>
                  <pic:blipFill>
                    <a:blip r:embed="rId20">
                      <a:extLst>
                        <a:ext uri="{28A0092B-C50C-407E-A947-70E740481C1C}">
                          <a14:useLocalDpi xmlns:a14="http://schemas.microsoft.com/office/drawing/2010/main" val="0"/>
                        </a:ext>
                      </a:extLst>
                    </a:blip>
                    <a:stretch>
                      <a:fillRect/>
                    </a:stretch>
                  </pic:blipFill>
                  <pic:spPr>
                    <a:xfrm>
                      <a:off x="0" y="0"/>
                      <a:ext cx="5731510" cy="2903965"/>
                    </a:xfrm>
                    <a:prstGeom prst="rect">
                      <a:avLst/>
                    </a:prstGeom>
                  </pic:spPr>
                </pic:pic>
              </a:graphicData>
            </a:graphic>
          </wp:inline>
        </w:drawing>
      </w:r>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resumably some preferred multiple of the variability parameter</w:t>
      </w:r>
      <w:r w:rsidR="00907D9A">
        <w:t xml:space="preserve"> </w:t>
      </w:r>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747CFF">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t>Figure 3a</w:t>
      </w:r>
    </w:p>
    <w:p w14:paraId="6B82B4EF" w14:textId="0DC86001" w:rsidR="009C36F5" w:rsidRDefault="00567C99" w:rsidP="0095711C">
      <w:pPr>
        <w:jc w:val="center"/>
      </w:pPr>
      <w:r>
        <w:rPr>
          <w:noProof/>
          <w:lang w:val="en-GB"/>
        </w:rPr>
        <w:drawing>
          <wp:inline distT="0" distB="0" distL="0" distR="0" wp14:anchorId="353E110D" wp14:editId="2A230984">
            <wp:extent cx="5709329" cy="28927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a.eps"/>
                    <pic:cNvPicPr/>
                  </pic:nvPicPr>
                  <pic:blipFill>
                    <a:blip r:embed="rId21">
                      <a:extLst>
                        <a:ext uri="{28A0092B-C50C-407E-A947-70E740481C1C}">
                          <a14:useLocalDpi xmlns:a14="http://schemas.microsoft.com/office/drawing/2010/main" val="0"/>
                        </a:ext>
                      </a:extLst>
                    </a:blip>
                    <a:stretch>
                      <a:fillRect/>
                    </a:stretch>
                  </pic:blipFill>
                  <pic:spPr>
                    <a:xfrm>
                      <a:off x="0" y="0"/>
                      <a:ext cx="5709329" cy="2892726"/>
                    </a:xfrm>
                    <a:prstGeom prst="rect">
                      <a:avLst/>
                    </a:prstGeom>
                  </pic:spPr>
                </pic:pic>
              </a:graphicData>
            </a:graphic>
          </wp:inline>
        </w:drawing>
      </w:r>
    </w:p>
    <w:p w14:paraId="43A98EFC" w14:textId="47A0A858" w:rsidR="00CF7F21" w:rsidRDefault="00C93ED7" w:rsidP="00FA2325">
      <w:pPr>
        <w:pStyle w:val="Paragraph"/>
      </w:pPr>
      <w:r>
        <w:t xml:space="preserve">Even here, though not as starkly as in the case where the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747CFF">
        <w:t xml:space="preserve">Moving the </w:t>
      </w:r>
      <w:r w:rsidRPr="00747CFF">
        <w:lastRenderedPageBreak/>
        <w:t xml:space="preserve">hypothetical infection time to </w:t>
      </w:r>
      <w:r w:rsidR="00E55E6A" w:rsidRPr="00747CFF">
        <w:t xml:space="preserve">the </w:t>
      </w:r>
      <w:r w:rsidRPr="00747CFF">
        <w:t>left</w:t>
      </w:r>
      <w:r w:rsidR="00E55E6A" w:rsidRPr="00747CFF">
        <w:t>,</w:t>
      </w:r>
      <w:r w:rsidRPr="00747CFF">
        <w:t xml:space="preserve"> the negative result becomes less likely, and the </w:t>
      </w:r>
      <w:r w:rsidR="006A24D8" w:rsidRPr="00747CFF">
        <w:t xml:space="preserve">effect of the </w:t>
      </w:r>
      <w:r w:rsidRPr="00747CFF">
        <w:t>conditioning on the</w:t>
      </w:r>
      <w:r w:rsidR="006A24D8" w:rsidRPr="00747CFF">
        <w:t xml:space="preserve"> likelihood of seeing the</w:t>
      </w:r>
      <w:r w:rsidRPr="00747CFF">
        <w:t xml:space="preserve"> second test</w:t>
      </w:r>
      <w:r w:rsidR="006A24D8" w:rsidRPr="00747CFF">
        <w:t xml:space="preserve"> result</w:t>
      </w:r>
      <w:r w:rsidRPr="00747CFF">
        <w:t xml:space="preserve"> becomes initially more significant</w:t>
      </w:r>
      <w:r w:rsidR="007F071F" w:rsidRPr="00747CFF">
        <w:t>. It then</w:t>
      </w:r>
      <w:r w:rsidRPr="00747CFF">
        <w:t>, in turn</w:t>
      </w:r>
      <w:r w:rsidR="007F071F" w:rsidRPr="00747CFF">
        <w:t>, becomes</w:t>
      </w:r>
      <w:r w:rsidRPr="00747CFF">
        <w:t xml:space="preserve"> less relevant as the considered </w:t>
      </w:r>
      <w:r w:rsidR="007F071F" w:rsidRPr="00747CFF">
        <w:t xml:space="preserve">times </w:t>
      </w:r>
      <w:r w:rsidRPr="00747CFF">
        <w:t>leave the dynamic r</w:t>
      </w:r>
      <w:r w:rsidR="007F071F" w:rsidRPr="00747CFF">
        <w:t>ange of T</w:t>
      </w:r>
      <w:r w:rsidRPr="00747CFF">
        <w:t>est</w:t>
      </w:r>
      <w:r w:rsidR="007F071F" w:rsidRPr="00747CFF">
        <w:rPr>
          <w:vertAlign w:val="subscript"/>
        </w:rPr>
        <w:t>2</w:t>
      </w:r>
      <w:r w:rsidRPr="00747CFF">
        <w:t>. The</w:t>
      </w:r>
      <w:r w:rsidRPr="00B24007">
        <w:t xml:space="preserve"> </w:t>
      </w:r>
      <w:r w:rsidR="00CF77A3" w:rsidRPr="00747CFF">
        <w:t>blue</w:t>
      </w:r>
      <w:r w:rsidRPr="00747CFF">
        <w:t xml:space="preserve"> line</w:t>
      </w:r>
      <w:r w:rsidRPr="00B24007">
        <w:t xml:space="preserve"> </w:t>
      </w:r>
      <w:r w:rsidR="008B15CC" w:rsidRPr="00747CFF">
        <w:t>is</w:t>
      </w:r>
      <w:r w:rsidR="00CA088E" w:rsidRPr="00747CFF">
        <w:t xml:space="preserve"> the full joint likelihood, which does not differ </w:t>
      </w:r>
      <w:r w:rsidR="008B15CC" w:rsidRPr="00747CFF">
        <w:t>meaningfully</w:t>
      </w:r>
      <w:r w:rsidR="00CA088E" w:rsidRPr="00747CFF">
        <w:t xml:space="preserve"> from a simple produ</w:t>
      </w:r>
      <w:r w:rsidR="007F071F" w:rsidRPr="00747CFF">
        <w:t>ct of the individual population-</w:t>
      </w:r>
      <w:r w:rsidR="00CA088E" w:rsidRPr="00747CFF">
        <w:t>level likelihoods</w:t>
      </w:r>
      <w:r w:rsidR="008B15CC">
        <w:t xml:space="preserve"> (shown in grey)</w:t>
      </w:r>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32E04DCB" w14:textId="31B8780D" w:rsidR="00F758B5" w:rsidRDefault="00567C99" w:rsidP="00FA2325">
      <w:pPr>
        <w:pStyle w:val="Paragraph"/>
      </w:pPr>
      <w:r w:rsidRPr="00FA2325">
        <w:t>Figure 3</w:t>
      </w:r>
      <w:r>
        <w:t>b</w:t>
      </w:r>
      <w:r w:rsidRPr="00FA2325">
        <w:t xml:space="preserve"> shows</w:t>
      </w:r>
      <w:r>
        <w:t xml:space="preserve"> the situation where the dynamic ranges of the tests are essentially the same. In this case, the plausible dates of infection are centred around the shared diagnostic delay of the tests, again with some spread for variability.</w:t>
      </w:r>
    </w:p>
    <w:p w14:paraId="70BA70A8" w14:textId="024E1460" w:rsidR="007E4055" w:rsidRPr="009C36F5" w:rsidRDefault="0005288F" w:rsidP="007E4055">
      <w:pPr>
        <w:pStyle w:val="Figurecaption"/>
      </w:pPr>
      <w:r>
        <w:t>Figure 3b</w:t>
      </w:r>
    </w:p>
    <w:p w14:paraId="3B80D3A5" w14:textId="7701CEB4" w:rsidR="007E4055" w:rsidRDefault="00680FFD" w:rsidP="007E4055">
      <w:pPr>
        <w:jc w:val="center"/>
      </w:pPr>
      <w:r>
        <w:rPr>
          <w:noProof/>
        </w:rPr>
        <w:drawing>
          <wp:inline distT="0" distB="0" distL="0" distR="0" wp14:anchorId="1B63CDF2" wp14:editId="394E8F00">
            <wp:extent cx="5731510" cy="2903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3b.pdf"/>
                    <pic:cNvPicPr/>
                  </pic:nvPicPr>
                  <pic:blipFill>
                    <a:blip r:embed="rId22">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22317DEB" w14:textId="77777777" w:rsidR="00567C99" w:rsidRDefault="00567C99" w:rsidP="00567C99">
      <w:pPr>
        <w:pStyle w:val="Paragraph"/>
      </w:pPr>
      <w:r w:rsidRPr="00B40923">
        <w:rPr>
          <w:i/>
        </w:rPr>
        <w:t>Outliers:</w:t>
      </w:r>
      <w:r>
        <w:t xml:space="preserve"> Figure 3c shows the less common situation when a more sensitive test is negative while a less sensitive test is positive. If test error has been largely ruled out, this implies an outlier situation in which the plausible test infection time likelihood is determined by the details of distributional tails and test </w:t>
      </w:r>
      <w:proofErr w:type="gramStart"/>
      <w:r>
        <w:t>correlation, but</w:t>
      </w:r>
      <w:proofErr w:type="gramEnd"/>
      <w:r>
        <w:t xml:space="preserve"> is nevertheless constrained to lie in the region between the two diagnostic delays. In this rare case there is less plausible scope for variability than in the typical assignment of the negative and positive results.</w:t>
      </w:r>
    </w:p>
    <w:p w14:paraId="73404337" w14:textId="14F93355" w:rsidR="009C36F5" w:rsidRDefault="007E4055" w:rsidP="009339A5">
      <w:pPr>
        <w:pStyle w:val="Figurecaption"/>
      </w:pPr>
      <w:r>
        <w:lastRenderedPageBreak/>
        <w:t>Figure 3c</w:t>
      </w:r>
    </w:p>
    <w:p w14:paraId="3065588A" w14:textId="533A23D8" w:rsidR="007E4055" w:rsidRPr="00747CFF" w:rsidRDefault="00680FFD" w:rsidP="0095711C">
      <w:pPr>
        <w:spacing w:after="0"/>
        <w:jc w:val="center"/>
      </w:pPr>
      <w:r>
        <w:rPr>
          <w:noProof/>
          <w:lang w:eastAsia="en-ZA"/>
        </w:rPr>
        <w:drawing>
          <wp:inline distT="0" distB="0" distL="0" distR="0" wp14:anchorId="1FD38D9A" wp14:editId="4A1E453C">
            <wp:extent cx="5731510" cy="2903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3c.pdf"/>
                    <pic:cNvPicPr/>
                  </pic:nvPicPr>
                  <pic:blipFill>
                    <a:blip r:embed="rId23">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xml:space="preserve">, making future calculations more </w:t>
      </w:r>
      <w:proofErr w:type="gramStart"/>
      <w:r w:rsidR="00C32080" w:rsidRPr="0095711C">
        <w:t>efficient</w:t>
      </w:r>
      <w:r w:rsidR="00F15CE4">
        <w:t>;=</w:t>
      </w:r>
      <w:proofErr w:type="gramEnd"/>
      <w:r w:rsidR="00F15CE4">
        <w:t>.</w:t>
      </w:r>
    </w:p>
    <w:p w14:paraId="46B23422" w14:textId="5550DABF" w:rsidR="005F5F99" w:rsidRPr="0095711C" w:rsidRDefault="0054337F" w:rsidP="0095711C">
      <w:pPr>
        <w:pStyle w:val="ListParagraph"/>
        <w:numPr>
          <w:ilvl w:val="0"/>
          <w:numId w:val="22"/>
        </w:numPr>
      </w:pPr>
      <w:r w:rsidRPr="0095711C">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5860651A"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r>
        <w:t>the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33"/>
      <w:commentRangeStart w:id="34"/>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t>
      </w:r>
      <w:proofErr w:type="spellStart"/>
      <w:r w:rsidR="001E41E8">
        <w:t>Welte</w:t>
      </w:r>
      <w:proofErr w:type="spellEnd"/>
      <w:r w:rsidR="001E41E8">
        <w:t xml:space="preserve"> </w:t>
      </w:r>
      <w:r w:rsidR="001E41E8" w:rsidRPr="00F81C5E">
        <w:rPr>
          <w:i/>
        </w:rPr>
        <w:t xml:space="preserve">et al., </w:t>
      </w:r>
      <w:r w:rsidR="001E41E8">
        <w:t>forthcoming)</w:t>
      </w:r>
      <w:r w:rsidR="00A96C66">
        <w:t>.</w:t>
      </w:r>
      <w:commentRangeEnd w:id="33"/>
      <w:r>
        <w:rPr>
          <w:rStyle w:val="CommentReference"/>
        </w:rPr>
        <w:commentReference w:id="33"/>
      </w:r>
      <w:commentRangeEnd w:id="34"/>
      <w:r w:rsidR="00667946">
        <w:rPr>
          <w:rStyle w:val="CommentReference"/>
          <w:lang w:val="en-ZA"/>
        </w:rPr>
        <w:commentReference w:id="34"/>
      </w:r>
    </w:p>
    <w:p w14:paraId="53E464B0" w14:textId="16476D61" w:rsidR="00592AB3" w:rsidRPr="00C32080" w:rsidRDefault="009E4E08" w:rsidP="00E958E8">
      <w:pPr>
        <w:pStyle w:val="Heading2"/>
      </w:pPr>
      <w:r w:rsidRPr="00C32080">
        <w:lastRenderedPageBreak/>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24"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w:t>
      </w:r>
      <w:proofErr w:type="spellStart"/>
      <w:r w:rsidR="00F35B2A">
        <w:t>preprocessing</w:t>
      </w:r>
      <w:proofErr w:type="spellEnd"/>
      <w:r w:rsidR="00F35B2A">
        <w:t xml:space="preserve">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r>
        <w:t>a</w:t>
      </w:r>
      <w:r w:rsidR="00A62F04" w:rsidRPr="00E958E8">
        <w:t xml:space="preserve">nother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w:t>
      </w:r>
      <w:proofErr w:type="spellStart"/>
      <w:r w:rsidR="007D73B1">
        <w:t>Geenius</w:t>
      </w:r>
      <w:proofErr w:type="spellEnd"/>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r>
        <w:t>a</w:t>
      </w:r>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w:t>
      </w:r>
      <w:r w:rsidR="003139B4">
        <w:lastRenderedPageBreak/>
        <w:t>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 xml:space="preserve">repository on </w:t>
      </w:r>
      <w:proofErr w:type="spellStart"/>
      <w:r w:rsidR="003B1B79">
        <w:t>G</w:t>
      </w:r>
      <w:r w:rsidR="00EE5451">
        <w:t>ithub</w:t>
      </w:r>
      <w:proofErr w:type="spellEnd"/>
      <w:r w:rsidR="00EE5451">
        <w:t xml:space="preserve"> (</w:t>
      </w:r>
      <w:hyperlink r:id="rId25"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w:t>
      </w:r>
      <w:proofErr w:type="gramStart"/>
      <w:r w:rsidR="00FE5E89">
        <w:t>developers</w:t>
      </w:r>
      <w:proofErr w:type="gramEnd"/>
      <w:r w:rsidR="00FE5E89">
        <w:t xml:space="preserve">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lastRenderedPageBreak/>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The first three are described in turn below, while the fourth (“Residual Risk”) is the subject of a separate publication (</w:t>
      </w:r>
      <w:proofErr w:type="spellStart"/>
      <w:r w:rsidR="0010429E">
        <w:t>Welte</w:t>
      </w:r>
      <w:proofErr w:type="spellEnd"/>
      <w:r w:rsidR="0010429E">
        <w:t xml:space="preserv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lang w:val="en-ZA" w:eastAsia="en-ZA"/>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lang w:val="en-ZA" w:eastAsia="en-ZA"/>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lang w:val="en-ZA" w:eastAsia="en-ZA"/>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proofErr w:type="spellStart"/>
      <w:r w:rsidR="00F44C1E">
        <w:t>intersubject</w:t>
      </w:r>
      <w:proofErr w:type="spellEnd"/>
      <w:r w:rsidR="00F44C1E">
        <w:t xml:space="preserve">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lang w:val="en-ZA" w:eastAsia="en-ZA"/>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lang w:val="en-ZA" w:eastAsia="en-ZA"/>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r>
        <w:rPr>
          <w:b/>
        </w:rPr>
        <w:t>s</w:t>
      </w:r>
      <w:r w:rsidR="00923D5A" w:rsidRPr="0021042B">
        <w:rPr>
          <w:b/>
        </w:rPr>
        <w:t>ubjects</w:t>
      </w:r>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proofErr w:type="spellStart"/>
      <w:r w:rsidRPr="005463CD">
        <w:rPr>
          <w:b/>
        </w:rPr>
        <w:t>diagnostic_test_history</w:t>
      </w:r>
      <w:proofErr w:type="spellEnd"/>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proofErr w:type="spellStart"/>
      <w:r w:rsidRPr="005463CD">
        <w:rPr>
          <w:b/>
        </w:rPr>
        <w:t>diagnostic_tests</w:t>
      </w:r>
      <w:proofErr w:type="spellEnd"/>
      <w:r>
        <w:t xml:space="preserve">: </w:t>
      </w:r>
      <w:r w:rsidRPr="007F0AE5">
        <w:t>This is a look-up table listing all known tests applicable to the current purposes</w:t>
      </w:r>
      <w:r w:rsidR="00D32E3C">
        <w:t xml:space="preserve"> (both system-provided and user-provided)</w:t>
      </w:r>
      <w:r w:rsidRPr="007F0AE5">
        <w:t>.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analyte.</w:t>
      </w:r>
    </w:p>
    <w:p w14:paraId="2BA3D90E" w14:textId="61215760" w:rsidR="000C0752" w:rsidRPr="007F0AE5" w:rsidRDefault="00D32E3C" w:rsidP="007F0AE5">
      <w:pPr>
        <w:pStyle w:val="ListParagraph"/>
      </w:pPr>
      <w:proofErr w:type="spellStart"/>
      <w:r w:rsidRPr="005463CD">
        <w:rPr>
          <w:b/>
        </w:rPr>
        <w:t>test_property_estimates</w:t>
      </w:r>
      <w:proofErr w:type="spellEnd"/>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proofErr w:type="spellStart"/>
      <w:r w:rsidRPr="005463CD">
        <w:rPr>
          <w:b/>
        </w:rPr>
        <w:t>test_property_mapping</w:t>
      </w:r>
      <w:proofErr w:type="spellEnd"/>
      <w:r>
        <w:t>: This table records user-specific mapping of test codes</w:t>
      </w:r>
      <w:r w:rsidR="00A4067D">
        <w:t xml:space="preserve"> by linking (for each user of the system) each test code</w:t>
      </w:r>
      <w:r>
        <w:t xml:space="preserve"> in the </w:t>
      </w:r>
      <w:proofErr w:type="spellStart"/>
      <w:r>
        <w:t>diagnostic_test_history</w:t>
      </w:r>
      <w:proofErr w:type="spellEnd"/>
      <w:r>
        <w:t xml:space="preserve"> table</w:t>
      </w:r>
      <w:r w:rsidR="00A4067D">
        <w:t xml:space="preserve"> to a test in the </w:t>
      </w:r>
      <w:proofErr w:type="spellStart"/>
      <w:r w:rsidR="00A4067D">
        <w:t>diagnostic_tests</w:t>
      </w:r>
      <w:proofErr w:type="spellEnd"/>
      <w:r w:rsidR="00A4067D">
        <w:t xml:space="preserve">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3224E86C" w14:textId="1A7CDB53" w:rsidR="00AA785A" w:rsidRPr="00AA785A" w:rsidRDefault="004A171E" w:rsidP="00AA785A">
      <w:pPr>
        <w:widowControl w:val="0"/>
        <w:autoSpaceDE w:val="0"/>
        <w:autoSpaceDN w:val="0"/>
        <w:adjustRightInd w:val="0"/>
        <w:spacing w:before="240" w:after="0" w:line="240" w:lineRule="auto"/>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AA785A" w:rsidRPr="00AA785A">
        <w:rPr>
          <w:rFonts w:ascii="Calibri" w:hAnsi="Calibri" w:cs="Calibri"/>
          <w:noProof/>
          <w:lang w:val="en-US"/>
        </w:rPr>
        <w:t xml:space="preserve">1. </w:t>
      </w:r>
      <w:r w:rsidR="00AA785A" w:rsidRPr="00AA785A">
        <w:rPr>
          <w:rFonts w:ascii="Calibri" w:hAnsi="Calibri" w:cs="Calibri"/>
          <w:noProof/>
          <w:lang w:val="en-US"/>
        </w:rPr>
        <w:tab/>
        <w:t xml:space="preserve">Fiebig EW, Wright DJ, Rawal BD, Garrett PE, Schumacher RT, Peddada L, et al. Dynamics of HIV viremia and antibody seroconversion in plasma donors: implications for diagnosis and staging of primary HIV infection. AIDS. 2003 Sep 5;17(13):1871–9. </w:t>
      </w:r>
    </w:p>
    <w:p w14:paraId="4CF5483B"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2. </w:t>
      </w:r>
      <w:r w:rsidRPr="00AA785A">
        <w:rPr>
          <w:rFonts w:ascii="Calibri" w:hAnsi="Calibri" w:cs="Calibri"/>
          <w:noProof/>
          <w:lang w:val="en-US"/>
        </w:rPr>
        <w:tab/>
        <w:t xml:space="preserve">Lee HY, Giorgi EE, Keele BF, Gaschen B, Athreya GS, Salazar-Gonzalez JF, et al. Modeling sequence evolution in acute HIV-1 infection. J Theor Biol. 2009 Nov;261(2):341–60. </w:t>
      </w:r>
    </w:p>
    <w:p w14:paraId="78E0E6D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3. </w:t>
      </w:r>
      <w:r w:rsidRPr="00AA785A">
        <w:rPr>
          <w:rFonts w:ascii="Calibri" w:hAnsi="Calibri" w:cs="Calibri"/>
          <w:noProof/>
          <w:lang w:val="en-US"/>
        </w:rPr>
        <w:tab/>
        <w:t xml:space="preserve">Ananworanich J, Fletcher JLK, Pinyakorn S, van Griensven F, Vandergeeten C, Schuetz A, et al. A novel acute HIV infection staging system based on 4th generation immunoassay. Retrovirology. 2013 May 29;10(1):56. </w:t>
      </w:r>
    </w:p>
    <w:p w14:paraId="67046CB1"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4. </w:t>
      </w:r>
      <w:r w:rsidRPr="00AA785A">
        <w:rPr>
          <w:rFonts w:ascii="Calibri" w:hAnsi="Calibri" w:cs="Calibri"/>
          <w:noProof/>
          <w:lang w:val="en-US"/>
        </w:rPr>
        <w:tab/>
        <w:t>CEPHIA. Consortium for the Performance and Evaluation of HIV Incidence Assays [Internet]. Available from: http://www.incidence-estimation.org/page/cephia</w:t>
      </w:r>
    </w:p>
    <w:p w14:paraId="2FCAB11F"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5. </w:t>
      </w:r>
      <w:r w:rsidRPr="00AA785A">
        <w:rPr>
          <w:rFonts w:ascii="Calibri" w:hAnsi="Calibri" w:cs="Calibri"/>
          <w:noProof/>
          <w:lang w:val="en-US"/>
        </w:rPr>
        <w:tab/>
        <w:t xml:space="preserve">Kassanjee R, Pilcher CD, Keating SM, Facente SN, McKinney E, Price MA, et al. Independent assessment of candidate HIV incidence assays on specimens in the CEPHIA repository. AIDS. 2014 Oct;28(16):2439–49. </w:t>
      </w:r>
    </w:p>
    <w:p w14:paraId="0DF9BE8B"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6. </w:t>
      </w:r>
      <w:r w:rsidRPr="00AA785A">
        <w:rPr>
          <w:rFonts w:ascii="Calibri" w:hAnsi="Calibri" w:cs="Calibri"/>
          <w:noProof/>
          <w:lang w:val="en-US"/>
        </w:rPr>
        <w:tab/>
        <w:t xml:space="preserve">Murphy G, Pilcher CD, Keating SM, Kassanjee R, Facente SN, Welte A, et al. Moving towards a reliable HIV incidence test - current status, resources available, future directions and challenges ahead. Epidemiol Infect. 2017 Dec 22;145(5):925–41. </w:t>
      </w:r>
    </w:p>
    <w:p w14:paraId="410F8A87"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7. </w:t>
      </w:r>
      <w:r w:rsidRPr="00AA785A">
        <w:rPr>
          <w:rFonts w:ascii="Calibri" w:hAnsi="Calibri" w:cs="Calibri"/>
          <w:noProof/>
          <w:lang w:val="en-US"/>
        </w:rPr>
        <w:tab/>
        <w:t xml:space="preserve">Kassanjee R, Pilcher CD, Busch MP, Murphy G, Facente SN, Keating SM, et al. Viral load criteria and threshold optimization to improve HIV incidence assay characteristics. AIDS. 2016 Sep;30(15):2361–71. </w:t>
      </w:r>
    </w:p>
    <w:p w14:paraId="0C42211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8. </w:t>
      </w:r>
      <w:r w:rsidRPr="00AA785A">
        <w:rPr>
          <w:rFonts w:ascii="Calibri" w:hAnsi="Calibri" w:cs="Calibri"/>
          <w:noProof/>
          <w:lang w:val="en-US"/>
        </w:rPr>
        <w:tab/>
        <w:t xml:space="preserve">Grebe E, Welte A, Hall J, Keating SM, Facente SN, Marson K, et al. Infection Staging and Incidence Surveillance Applications of High Dynamic Range Diagnostic Immuno-Assay Platforms. JAIDS J Acquir Immune Defic Syndr. 2017 Dec;76(5):547–55. </w:t>
      </w:r>
    </w:p>
    <w:p w14:paraId="5FFBD368"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9. </w:t>
      </w:r>
      <w:r w:rsidRPr="00AA785A">
        <w:rPr>
          <w:rFonts w:ascii="Calibri" w:hAnsi="Calibri" w:cs="Calibri"/>
          <w:noProof/>
          <w:lang w:val="en-US"/>
        </w:rPr>
        <w:tab/>
        <w:t xml:space="preserve">Kassanjee R, McWalter TA, Bärnighausen T, Welte A. A New General Biomarker-based Incidence Estimator. Epidemiology. 2012 Sep;23(5):721–8. </w:t>
      </w:r>
    </w:p>
    <w:p w14:paraId="5AEA2023"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10. </w:t>
      </w:r>
      <w:r w:rsidRPr="00AA785A">
        <w:rPr>
          <w:rFonts w:ascii="Calibri" w:hAnsi="Calibri" w:cs="Calibri"/>
          <w:noProof/>
          <w:lang w:val="en-US"/>
        </w:rPr>
        <w:tab/>
        <w:t xml:space="preserve">Owen SM, Yang C, Spira T, Ou CY, Pau CP, Parekh BS, et al. Alternative algorithms for human immunodeficiency virus infection diagnosis using tests that are licensed in the United States. J Clin Microbiol. 2008;46(5):1588–95. </w:t>
      </w:r>
    </w:p>
    <w:p w14:paraId="62DFB302"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11. </w:t>
      </w:r>
      <w:r w:rsidRPr="00AA785A">
        <w:rPr>
          <w:rFonts w:ascii="Calibri" w:hAnsi="Calibri" w:cs="Calibri"/>
          <w:noProof/>
          <w:lang w:val="en-US"/>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3AE33AD4"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12. </w:t>
      </w:r>
      <w:r w:rsidRPr="00AA785A">
        <w:rPr>
          <w:rFonts w:ascii="Calibri" w:hAnsi="Calibri" w:cs="Calibri"/>
          <w:noProof/>
          <w:lang w:val="en-US"/>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A54AE7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lastRenderedPageBreak/>
        <w:t xml:space="preserve">13. </w:t>
      </w:r>
      <w:r w:rsidRPr="00AA785A">
        <w:rPr>
          <w:rFonts w:ascii="Calibri" w:hAnsi="Calibri" w:cs="Calibri"/>
          <w:noProof/>
          <w:lang w:val="en-US"/>
        </w:rPr>
        <w:tab/>
        <w:t xml:space="preserve">Konrad BP, Taylor D, Conway JM, Ogilvie GS, Coombs D. On the duration of the period between exposure to HIV and detectable infection. Epidemics. 2017 Sep;20:73–83. </w:t>
      </w:r>
    </w:p>
    <w:p w14:paraId="5DB5975E"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rPr>
      </w:pPr>
      <w:r w:rsidRPr="00AA785A">
        <w:rPr>
          <w:rFonts w:ascii="Calibri" w:hAnsi="Calibri" w:cs="Calibri"/>
          <w:noProof/>
          <w:lang w:val="en-US"/>
        </w:rPr>
        <w:t xml:space="preserve">14. </w:t>
      </w:r>
      <w:r w:rsidRPr="00AA785A">
        <w:rPr>
          <w:rFonts w:ascii="Calibri" w:hAnsi="Calibri" w:cs="Calibri"/>
          <w:noProof/>
          <w:lang w:val="en-US"/>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051376F5" w:rsidR="004A171E" w:rsidRDefault="004A171E" w:rsidP="00AA785A">
      <w:pPr>
        <w:widowControl w:val="0"/>
        <w:autoSpaceDE w:val="0"/>
        <w:autoSpaceDN w:val="0"/>
        <w:adjustRightInd w:val="0"/>
        <w:spacing w:before="240" w:after="0" w:line="240" w:lineRule="auto"/>
        <w:ind w:left="640" w:hanging="640"/>
      </w:pPr>
      <w:r>
        <w:fldChar w:fldCharType="end"/>
      </w:r>
    </w:p>
    <w:sectPr w:rsidR="004A171E" w:rsidSect="00D237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ngham, JL, Mr &lt;jeremyb@sun.ac.za&gt;" w:date="2018-03-26T11:14:00Z" w:initials="BJM&lt;">
    <w:p w14:paraId="38691384" w14:textId="59F993D4" w:rsidR="00A66549" w:rsidRDefault="00A66549">
      <w:pPr>
        <w:pStyle w:val="CommentText"/>
      </w:pPr>
      <w:r>
        <w:rPr>
          <w:rStyle w:val="CommentReference"/>
        </w:rPr>
        <w:annotationRef/>
      </w:r>
      <w:r>
        <w:t>Awkward sentence</w:t>
      </w:r>
    </w:p>
  </w:comment>
  <w:comment w:id="5" w:author="Bingham, JL, Mr &lt;jeremyb@sun.ac.za&gt;" w:date="2018-03-26T11:15:00Z" w:initials="BJM&lt;">
    <w:p w14:paraId="11557164" w14:textId="548DA2DE" w:rsidR="00A66549" w:rsidRDefault="00A66549">
      <w:pPr>
        <w:pStyle w:val="CommentText"/>
      </w:pPr>
      <w:r>
        <w:rPr>
          <w:rStyle w:val="CommentReference"/>
        </w:rPr>
        <w:annotationRef/>
      </w:r>
      <w:r>
        <w:t xml:space="preserve">Not at all clear why “more and more” or even “more” difficult. “continues to evolve rapidly” implies that it has been rapid, so the difficulty </w:t>
      </w:r>
      <w:r w:rsidRPr="000A4A5A">
        <w:rPr>
          <w:i/>
        </w:rPr>
        <w:t>increasing</w:t>
      </w:r>
      <w:r>
        <w:t xml:space="preserve"> would have to be the result of some other factor (perhaps the key blood samples have limited supply?)</w:t>
      </w:r>
    </w:p>
  </w:comment>
  <w:comment w:id="9" w:author="Bingham, JL, Mr &lt;jeremyb@sun.ac.za&gt;" w:date="2018-03-26T11:34:00Z" w:initials="BJM&lt;">
    <w:p w14:paraId="64F19521" w14:textId="798F0C78" w:rsidR="00A66549" w:rsidRDefault="00A66549">
      <w:pPr>
        <w:pStyle w:val="CommentText"/>
      </w:pPr>
      <w:r>
        <w:rPr>
          <w:rStyle w:val="CommentReference"/>
        </w:rPr>
        <w:annotationRef/>
      </w:r>
      <w:r>
        <w:t>and is estimated to be</w:t>
      </w:r>
    </w:p>
  </w:comment>
  <w:comment w:id="10" w:author="Bingham, JL, Mr &lt;jeremyb@sun.ac.za&gt;" w:date="2018-03-26T11:35:00Z" w:initials="BJM&lt;">
    <w:p w14:paraId="7FDE407D" w14:textId="28407924" w:rsidR="00A66549" w:rsidRDefault="00A66549">
      <w:pPr>
        <w:pStyle w:val="CommentText"/>
      </w:pPr>
      <w:r>
        <w:rPr>
          <w:rStyle w:val="CommentReference"/>
        </w:rPr>
        <w:annotationRef/>
      </w:r>
      <w:r>
        <w:t>is it possible to also put a more-understandable rate/doubling time here?</w:t>
      </w:r>
    </w:p>
  </w:comment>
  <w:comment w:id="11" w:author="Bingham, JL, Mr &lt;jeremyb@sun.ac.za&gt;" w:date="2018-04-06T05:57:00Z" w:initials="BJM&lt;">
    <w:p w14:paraId="2A214A35" w14:textId="7F1C430D" w:rsidR="00A66549" w:rsidRDefault="00A66549">
      <w:pPr>
        <w:pStyle w:val="CommentText"/>
      </w:pPr>
      <w:r>
        <w:rPr>
          <w:rStyle w:val="CommentReference"/>
        </w:rPr>
        <w:annotationRef/>
      </w:r>
      <w:r>
        <w:t>Is this adding meaning?</w:t>
      </w:r>
    </w:p>
  </w:comment>
  <w:comment w:id="12" w:author="Bingham, JL, Mr &lt;jeremyb@sun.ac.za&gt;" w:date="2018-04-06T06:00:00Z" w:initials="BJM&lt;">
    <w:p w14:paraId="7A7A2E65" w14:textId="5B3DA3FD" w:rsidR="00A66549" w:rsidRDefault="00A66549">
      <w:pPr>
        <w:pStyle w:val="CommentText"/>
      </w:pPr>
      <w:r>
        <w:rPr>
          <w:rStyle w:val="CommentReference"/>
        </w:rPr>
        <w:annotationRef/>
      </w:r>
      <w:r>
        <w:t xml:space="preserve">After exposure or after DDI? Or doesn’t it matter so long as the DDI-benchmark is a much </w:t>
      </w:r>
      <w:r>
        <w:rPr>
          <w:i/>
        </w:rPr>
        <w:t>more</w:t>
      </w:r>
      <w:r>
        <w:t xml:space="preserve"> sensitive test.. </w:t>
      </w:r>
    </w:p>
  </w:comment>
  <w:comment w:id="13" w:author="Eduard Grebe" w:date="2018-04-20T00:02:00Z" w:initials="EG">
    <w:p w14:paraId="4D21EAC9" w14:textId="182A9B03" w:rsidR="00F7672D" w:rsidRDefault="00F7672D">
      <w:pPr>
        <w:pStyle w:val="CommentText"/>
      </w:pPr>
      <w:r>
        <w:rPr>
          <w:rStyle w:val="CommentReference"/>
        </w:rPr>
        <w:annotationRef/>
      </w:r>
      <w:r>
        <w:t>We’ll be changing the whole paper to focus on exposure as reference event</w:t>
      </w:r>
    </w:p>
  </w:comment>
  <w:comment w:id="15" w:author="Bingham, JL, Mr &lt;jeremyb@sun.ac.za&gt;" w:date="2018-04-06T06:06:00Z" w:initials="BJM&lt;">
    <w:p w14:paraId="22B9759B" w14:textId="75581230" w:rsidR="00A66549" w:rsidRDefault="00A66549">
      <w:pPr>
        <w:pStyle w:val="CommentText"/>
      </w:pPr>
      <w:r>
        <w:rPr>
          <w:rStyle w:val="CommentReference"/>
        </w:rPr>
        <w:annotationRef/>
      </w:r>
      <w:r>
        <w:t>This makes more sense after reading a paragraph ahead where it’s mentioned that the timescale of the “individual” curves is much shorter than that of the mean curve.</w:t>
      </w:r>
    </w:p>
  </w:comment>
  <w:comment w:id="20" w:author="Eduard Grebe" w:date="2018-04-20T00:04:00Z" w:initials="EG">
    <w:p w14:paraId="2B9A3BC0" w14:textId="6E2BCE05" w:rsidR="006723F2" w:rsidRDefault="006723F2">
      <w:pPr>
        <w:pStyle w:val="CommentText"/>
      </w:pPr>
      <w:r>
        <w:rPr>
          <w:rStyle w:val="CommentReference"/>
        </w:rPr>
        <w:annotationRef/>
      </w:r>
      <w:r>
        <w:t>No longer accurate for all panels</w:t>
      </w:r>
    </w:p>
  </w:comment>
  <w:comment w:id="33" w:author="Shelley Facente" w:date="2017-11-18T13:14:00Z" w:initials="SF">
    <w:p w14:paraId="3660AEAA" w14:textId="2EC8BFA3" w:rsidR="00A66549" w:rsidRDefault="00A66549">
      <w:pPr>
        <w:pStyle w:val="CommentText"/>
      </w:pPr>
      <w:r>
        <w:rPr>
          <w:rStyle w:val="CommentReference"/>
        </w:rPr>
        <w:annotationRef/>
      </w:r>
      <w:bookmarkStart w:id="35" w:name="_GoBack"/>
      <w:bookmarkEnd w:id="35"/>
      <w:r>
        <w:t>This paragraph should be removed if the residual risk calculator cannot reasonably be included by the time this paper is ready for release (which is hopefully quite soon).</w:t>
      </w:r>
    </w:p>
  </w:comment>
  <w:comment w:id="34" w:author="Eduard Grebe" w:date="2018-01-23T11:31:00Z" w:initials="EG">
    <w:p w14:paraId="2E70EE10" w14:textId="61F09C7B" w:rsidR="00A66549" w:rsidRDefault="00A66549">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91384" w15:done="0"/>
  <w15:commentEx w15:paraId="11557164" w15:done="0"/>
  <w15:commentEx w15:paraId="64F19521" w15:done="0"/>
  <w15:commentEx w15:paraId="7FDE407D" w15:done="0"/>
  <w15:commentEx w15:paraId="2A214A35" w15:done="0"/>
  <w15:commentEx w15:paraId="7A7A2E65" w15:done="0"/>
  <w15:commentEx w15:paraId="4D21EAC9" w15:paraIdParent="7A7A2E65" w15:done="0"/>
  <w15:commentEx w15:paraId="22B9759B" w15:done="0"/>
  <w15:commentEx w15:paraId="2B9A3BC0" w15:done="0"/>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91384" w16cid:durableId="1E7B455A"/>
  <w16cid:commentId w16cid:paraId="11557164" w16cid:durableId="1E7B455B"/>
  <w16cid:commentId w16cid:paraId="64F19521" w16cid:durableId="1E7B455D"/>
  <w16cid:commentId w16cid:paraId="7FDE407D" w16cid:durableId="1E7B455E"/>
  <w16cid:commentId w16cid:paraId="2A214A35" w16cid:durableId="1E7B4560"/>
  <w16cid:commentId w16cid:paraId="7A7A2E65" w16cid:durableId="1E7B4561"/>
  <w16cid:commentId w16cid:paraId="4D21EAC9" w16cid:durableId="1E83AC78"/>
  <w16cid:commentId w16cid:paraId="22B9759B" w16cid:durableId="1E7B4562"/>
  <w16cid:commentId w16cid:paraId="2B9A3BC0" w16cid:durableId="1E83AD0A"/>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BEE13" w14:textId="77777777" w:rsidR="00846814" w:rsidRDefault="00846814" w:rsidP="00654BF5">
      <w:pPr>
        <w:spacing w:after="0" w:line="240" w:lineRule="auto"/>
      </w:pPr>
      <w:r>
        <w:separator/>
      </w:r>
    </w:p>
  </w:endnote>
  <w:endnote w:type="continuationSeparator" w:id="0">
    <w:p w14:paraId="17AA799C" w14:textId="77777777" w:rsidR="00846814" w:rsidRDefault="00846814" w:rsidP="00654BF5">
      <w:pPr>
        <w:spacing w:after="0" w:line="240" w:lineRule="auto"/>
      </w:pPr>
      <w:r>
        <w:continuationSeparator/>
      </w:r>
    </w:p>
  </w:endnote>
  <w:endnote w:type="continuationNotice" w:id="1">
    <w:p w14:paraId="0A2E3EA7" w14:textId="77777777" w:rsidR="00846814" w:rsidRDefault="00846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8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4980" w14:textId="77777777" w:rsidR="00846814" w:rsidRDefault="00846814" w:rsidP="00654BF5">
      <w:pPr>
        <w:spacing w:after="0" w:line="240" w:lineRule="auto"/>
      </w:pPr>
      <w:r>
        <w:separator/>
      </w:r>
    </w:p>
  </w:footnote>
  <w:footnote w:type="continuationSeparator" w:id="0">
    <w:p w14:paraId="5012D5F9" w14:textId="77777777" w:rsidR="00846814" w:rsidRDefault="00846814" w:rsidP="00654BF5">
      <w:pPr>
        <w:spacing w:after="0" w:line="240" w:lineRule="auto"/>
      </w:pPr>
      <w:r>
        <w:continuationSeparator/>
      </w:r>
    </w:p>
  </w:footnote>
  <w:footnote w:type="continuationNotice" w:id="1">
    <w:p w14:paraId="22CDCF4C" w14:textId="77777777" w:rsidR="00846814" w:rsidRDefault="008468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lley Facente">
    <w15:presenceInfo w15:providerId="Windows Live" w15:userId="c96e5065c001f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7F4"/>
    <w:rsid w:val="00065E09"/>
    <w:rsid w:val="00073BCA"/>
    <w:rsid w:val="000743B2"/>
    <w:rsid w:val="000839D3"/>
    <w:rsid w:val="0008786B"/>
    <w:rsid w:val="000904F7"/>
    <w:rsid w:val="0009280B"/>
    <w:rsid w:val="00092E50"/>
    <w:rsid w:val="000A1583"/>
    <w:rsid w:val="000A3947"/>
    <w:rsid w:val="000A4A5A"/>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1255"/>
    <w:rsid w:val="001B6EF5"/>
    <w:rsid w:val="001C0DAC"/>
    <w:rsid w:val="001C0FA5"/>
    <w:rsid w:val="001C375B"/>
    <w:rsid w:val="001C483D"/>
    <w:rsid w:val="001C4862"/>
    <w:rsid w:val="001D0C48"/>
    <w:rsid w:val="001E41E8"/>
    <w:rsid w:val="001E5F12"/>
    <w:rsid w:val="001F2D0A"/>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5088"/>
    <w:rsid w:val="002C7F83"/>
    <w:rsid w:val="002D2366"/>
    <w:rsid w:val="002E664B"/>
    <w:rsid w:val="0030414E"/>
    <w:rsid w:val="003045EA"/>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177C"/>
    <w:rsid w:val="0039579E"/>
    <w:rsid w:val="003A2241"/>
    <w:rsid w:val="003A3E3E"/>
    <w:rsid w:val="003A634A"/>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3FB8"/>
    <w:rsid w:val="004643D2"/>
    <w:rsid w:val="00465E37"/>
    <w:rsid w:val="00470BC1"/>
    <w:rsid w:val="00477869"/>
    <w:rsid w:val="00495B78"/>
    <w:rsid w:val="00495B90"/>
    <w:rsid w:val="00497467"/>
    <w:rsid w:val="004A171E"/>
    <w:rsid w:val="004A2233"/>
    <w:rsid w:val="004A2D91"/>
    <w:rsid w:val="004A38D8"/>
    <w:rsid w:val="004B0A05"/>
    <w:rsid w:val="004B16E2"/>
    <w:rsid w:val="004B2021"/>
    <w:rsid w:val="004B76DA"/>
    <w:rsid w:val="004B7C77"/>
    <w:rsid w:val="004C6197"/>
    <w:rsid w:val="004D05CC"/>
    <w:rsid w:val="004E5F84"/>
    <w:rsid w:val="004E683A"/>
    <w:rsid w:val="004F28D0"/>
    <w:rsid w:val="0050378F"/>
    <w:rsid w:val="00503F29"/>
    <w:rsid w:val="00504A5C"/>
    <w:rsid w:val="005102BA"/>
    <w:rsid w:val="0051510B"/>
    <w:rsid w:val="005204CB"/>
    <w:rsid w:val="00520884"/>
    <w:rsid w:val="00522E62"/>
    <w:rsid w:val="00526DAA"/>
    <w:rsid w:val="00527540"/>
    <w:rsid w:val="00530F4A"/>
    <w:rsid w:val="0053336E"/>
    <w:rsid w:val="005342A3"/>
    <w:rsid w:val="00536E4C"/>
    <w:rsid w:val="0053725B"/>
    <w:rsid w:val="00542759"/>
    <w:rsid w:val="0054337F"/>
    <w:rsid w:val="005463CD"/>
    <w:rsid w:val="005538D5"/>
    <w:rsid w:val="00556C7A"/>
    <w:rsid w:val="00560179"/>
    <w:rsid w:val="00563A6E"/>
    <w:rsid w:val="00567C99"/>
    <w:rsid w:val="0057228F"/>
    <w:rsid w:val="00576FF8"/>
    <w:rsid w:val="0058141B"/>
    <w:rsid w:val="005903F9"/>
    <w:rsid w:val="00591960"/>
    <w:rsid w:val="00592AB3"/>
    <w:rsid w:val="005962AE"/>
    <w:rsid w:val="005B3089"/>
    <w:rsid w:val="005C40E4"/>
    <w:rsid w:val="005C44F4"/>
    <w:rsid w:val="005C634A"/>
    <w:rsid w:val="005D3A02"/>
    <w:rsid w:val="005D57E2"/>
    <w:rsid w:val="005E19D8"/>
    <w:rsid w:val="005E36F2"/>
    <w:rsid w:val="005E481E"/>
    <w:rsid w:val="005E66E1"/>
    <w:rsid w:val="005E7E5C"/>
    <w:rsid w:val="005F078A"/>
    <w:rsid w:val="005F0A40"/>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23F2"/>
    <w:rsid w:val="00676041"/>
    <w:rsid w:val="00676D26"/>
    <w:rsid w:val="00680FFD"/>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47CFF"/>
    <w:rsid w:val="00747DE6"/>
    <w:rsid w:val="00750C82"/>
    <w:rsid w:val="00757126"/>
    <w:rsid w:val="00757F30"/>
    <w:rsid w:val="0077231B"/>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11B2"/>
    <w:rsid w:val="008052E7"/>
    <w:rsid w:val="008108B2"/>
    <w:rsid w:val="00811461"/>
    <w:rsid w:val="00812D8F"/>
    <w:rsid w:val="00813C37"/>
    <w:rsid w:val="00817A7F"/>
    <w:rsid w:val="00826381"/>
    <w:rsid w:val="00826957"/>
    <w:rsid w:val="00831FCB"/>
    <w:rsid w:val="00833AE5"/>
    <w:rsid w:val="0084107E"/>
    <w:rsid w:val="008465A4"/>
    <w:rsid w:val="00846814"/>
    <w:rsid w:val="00847B9F"/>
    <w:rsid w:val="00852ADE"/>
    <w:rsid w:val="00854DA5"/>
    <w:rsid w:val="008609EC"/>
    <w:rsid w:val="008623B3"/>
    <w:rsid w:val="00862B7B"/>
    <w:rsid w:val="0086545E"/>
    <w:rsid w:val="008725F5"/>
    <w:rsid w:val="00873778"/>
    <w:rsid w:val="00874429"/>
    <w:rsid w:val="008838BD"/>
    <w:rsid w:val="008864AF"/>
    <w:rsid w:val="00890845"/>
    <w:rsid w:val="00892077"/>
    <w:rsid w:val="00895302"/>
    <w:rsid w:val="00895575"/>
    <w:rsid w:val="0089630F"/>
    <w:rsid w:val="0089648C"/>
    <w:rsid w:val="008A1243"/>
    <w:rsid w:val="008A5CDD"/>
    <w:rsid w:val="008B15CC"/>
    <w:rsid w:val="008B24AF"/>
    <w:rsid w:val="008B498D"/>
    <w:rsid w:val="008B6E5A"/>
    <w:rsid w:val="008D5300"/>
    <w:rsid w:val="008E45A9"/>
    <w:rsid w:val="008E707E"/>
    <w:rsid w:val="008F5F28"/>
    <w:rsid w:val="00905ADF"/>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268"/>
    <w:rsid w:val="00993BE6"/>
    <w:rsid w:val="00994D57"/>
    <w:rsid w:val="009B4741"/>
    <w:rsid w:val="009C36F5"/>
    <w:rsid w:val="009D07D0"/>
    <w:rsid w:val="009D1B53"/>
    <w:rsid w:val="009E4E08"/>
    <w:rsid w:val="009F2A17"/>
    <w:rsid w:val="009F525E"/>
    <w:rsid w:val="00A01A47"/>
    <w:rsid w:val="00A0434A"/>
    <w:rsid w:val="00A119D1"/>
    <w:rsid w:val="00A12854"/>
    <w:rsid w:val="00A14116"/>
    <w:rsid w:val="00A14540"/>
    <w:rsid w:val="00A14B1C"/>
    <w:rsid w:val="00A16BA1"/>
    <w:rsid w:val="00A176FB"/>
    <w:rsid w:val="00A23452"/>
    <w:rsid w:val="00A4067D"/>
    <w:rsid w:val="00A42754"/>
    <w:rsid w:val="00A62F04"/>
    <w:rsid w:val="00A6354C"/>
    <w:rsid w:val="00A66549"/>
    <w:rsid w:val="00A66588"/>
    <w:rsid w:val="00A700B5"/>
    <w:rsid w:val="00A70B1E"/>
    <w:rsid w:val="00A71C14"/>
    <w:rsid w:val="00A72939"/>
    <w:rsid w:val="00A87199"/>
    <w:rsid w:val="00A96C66"/>
    <w:rsid w:val="00AA785A"/>
    <w:rsid w:val="00AA791A"/>
    <w:rsid w:val="00AC3DA8"/>
    <w:rsid w:val="00AC4C69"/>
    <w:rsid w:val="00AC5776"/>
    <w:rsid w:val="00AE77EF"/>
    <w:rsid w:val="00AF1EE0"/>
    <w:rsid w:val="00AF23F2"/>
    <w:rsid w:val="00AF757C"/>
    <w:rsid w:val="00B03DF1"/>
    <w:rsid w:val="00B063F3"/>
    <w:rsid w:val="00B07A93"/>
    <w:rsid w:val="00B10A9C"/>
    <w:rsid w:val="00B16379"/>
    <w:rsid w:val="00B1749B"/>
    <w:rsid w:val="00B20007"/>
    <w:rsid w:val="00B23A7E"/>
    <w:rsid w:val="00B24007"/>
    <w:rsid w:val="00B31EA0"/>
    <w:rsid w:val="00B408BB"/>
    <w:rsid w:val="00B40923"/>
    <w:rsid w:val="00B4740A"/>
    <w:rsid w:val="00B530F8"/>
    <w:rsid w:val="00B54D4C"/>
    <w:rsid w:val="00B5628F"/>
    <w:rsid w:val="00B70C40"/>
    <w:rsid w:val="00B733C5"/>
    <w:rsid w:val="00B74E4E"/>
    <w:rsid w:val="00B875BB"/>
    <w:rsid w:val="00B876AB"/>
    <w:rsid w:val="00B91A49"/>
    <w:rsid w:val="00BA70B1"/>
    <w:rsid w:val="00BB0057"/>
    <w:rsid w:val="00BB3299"/>
    <w:rsid w:val="00BD2A22"/>
    <w:rsid w:val="00BD436B"/>
    <w:rsid w:val="00BD6CC5"/>
    <w:rsid w:val="00BD73A4"/>
    <w:rsid w:val="00BE0420"/>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CF7F21"/>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35F"/>
    <w:rsid w:val="00F14C97"/>
    <w:rsid w:val="00F15CE4"/>
    <w:rsid w:val="00F211BB"/>
    <w:rsid w:val="00F22ACC"/>
    <w:rsid w:val="00F35B2A"/>
    <w:rsid w:val="00F44C1E"/>
    <w:rsid w:val="00F52260"/>
    <w:rsid w:val="00F66F51"/>
    <w:rsid w:val="00F67738"/>
    <w:rsid w:val="00F7301E"/>
    <w:rsid w:val="00F758B5"/>
    <w:rsid w:val="00F75CEA"/>
    <w:rsid w:val="00F76656"/>
    <w:rsid w:val="00F7672D"/>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customStyle="1" w:styleId="UnresolvedMention1">
    <w:name w:val="Unresolved Mention1"/>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nul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null)"/><Relationship Id="rId25" Type="http://schemas.openxmlformats.org/officeDocument/2006/relationships/hyperlink" Target="https://github.com/SACEMA/infection-dating-too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null)"/><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tools.incidence-estimation.org/idt/"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null)"/><Relationship Id="rId28"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7.(nul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2.emf"/><Relationship Id="rId22" Type="http://schemas.openxmlformats.org/officeDocument/2006/relationships/image" Target="media/image10.(nul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9BB9-2E68-F843-9B18-50BD46B6CCC1}">
  <ds:schemaRefs>
    <ds:schemaRef ds:uri="http://schemas.openxmlformats.org/officeDocument/2006/bibliography"/>
  </ds:schemaRefs>
</ds:datastoreItem>
</file>

<file path=customXml/itemProps2.xml><?xml version="1.0" encoding="utf-8"?>
<ds:datastoreItem xmlns:ds="http://schemas.openxmlformats.org/officeDocument/2006/customXml" ds:itemID="{8BACC1D6-DC6B-FA45-97FC-27BEEBF1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21</Pages>
  <Words>18191</Words>
  <Characters>103690</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Eduard Grebe</cp:lastModifiedBy>
  <cp:revision>13</cp:revision>
  <cp:lastPrinted>2018-01-23T10:48:00Z</cp:lastPrinted>
  <dcterms:created xsi:type="dcterms:W3CDTF">2018-04-05T16:33:00Z</dcterms:created>
  <dcterms:modified xsi:type="dcterms:W3CDTF">2018-04-19T22:07:00Z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